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7E2B" w:rsidP="0361B61D" w:rsidRDefault="3A2ECBEC" w14:paraId="2C8A3C75" w14:textId="490317B5">
      <w:pPr>
        <w:pStyle w:val="Heading1"/>
        <w:spacing w:before="0" w:beforeAutospacing="off" w:after="0" w:afterAutospacing="off"/>
      </w:pPr>
      <w:r w:rsidRPr="0361B61D" w:rsidR="3A2ECBEC">
        <w:rPr>
          <w:rFonts w:ascii="Aptos" w:hAnsi="Aptos" w:eastAsia="Aptos" w:cs="Aptos"/>
          <w:b w:val="1"/>
          <w:bCs w:val="1"/>
          <w:sz w:val="48"/>
          <w:szCs w:val="48"/>
        </w:rPr>
        <w:t>Greenwich Giving</w:t>
      </w:r>
    </w:p>
    <w:p w:rsidR="00627E2B" w:rsidP="0361B61D" w:rsidRDefault="3A2ECBEC" w14:paraId="0D16FF4F" w14:textId="53F6DE19">
      <w:pPr>
        <w:pStyle w:val="Heading2"/>
        <w:spacing w:before="160" w:beforeAutospacing="off" w:after="299"/>
      </w:pPr>
      <w:r w:rsidRPr="0361B61D" w:rsidR="3A2ECBEC">
        <w:rPr>
          <w:rFonts w:ascii="Aptos" w:hAnsi="Aptos" w:eastAsia="Aptos" w:cs="Aptos"/>
          <w:b w:val="1"/>
          <w:bCs w:val="1"/>
          <w:sz w:val="36"/>
          <w:szCs w:val="36"/>
        </w:rPr>
        <w:t>Conflict of Interest Policy</w:t>
      </w:r>
    </w:p>
    <w:p w:rsidR="00627E2B" w:rsidP="0361B61D" w:rsidRDefault="3A2ECBEC" w14:paraId="53BE0F61" w14:textId="10F10337">
      <w:pPr>
        <w:pStyle w:val="Heading3"/>
        <w:spacing w:before="281" w:after="0" w:afterAutospacing="off"/>
      </w:pPr>
      <w:r w:rsidRPr="0361B61D" w:rsidR="3A2ECBEC">
        <w:rPr>
          <w:rFonts w:ascii="Aptos" w:hAnsi="Aptos" w:eastAsia="Aptos" w:cs="Aptos"/>
          <w:b w:val="1"/>
          <w:bCs w:val="1"/>
        </w:rPr>
        <w:t>1. Introduction</w:t>
      </w:r>
    </w:p>
    <w:p w:rsidR="00627E2B" w:rsidP="2BB90664" w:rsidRDefault="3A2ECBEC" w14:paraId="57C69417" w14:textId="6B519558">
      <w:pPr>
        <w:spacing w:before="240" w:after="240"/>
      </w:pPr>
      <w:r w:rsidRPr="0361B61D" w:rsidR="3A2ECBEC">
        <w:rPr>
          <w:rFonts w:ascii="Aptos" w:hAnsi="Aptos" w:eastAsia="Aptos" w:cs="Aptos"/>
        </w:rPr>
        <w:t xml:space="preserve">Greenwich Giving is committed to integrity, transparency, and fairness in all its operations. This </w:t>
      </w:r>
      <w:bookmarkStart w:name="_Int_iPDzJuKX" w:id="614558215"/>
      <w:r w:rsidRPr="0361B61D" w:rsidR="7D035EA0">
        <w:rPr>
          <w:rFonts w:ascii="Aptos" w:hAnsi="Aptos" w:eastAsia="Aptos" w:cs="Aptos"/>
          <w:b w:val="0"/>
          <w:bCs w:val="0"/>
        </w:rPr>
        <w:t>Conflict</w:t>
      </w:r>
      <w:r w:rsidRPr="0361B61D" w:rsidR="4CA625A9">
        <w:rPr>
          <w:rFonts w:ascii="Aptos" w:hAnsi="Aptos" w:eastAsia="Aptos" w:cs="Aptos"/>
          <w:b w:val="0"/>
          <w:bCs w:val="0"/>
        </w:rPr>
        <w:t xml:space="preserve"> </w:t>
      </w:r>
      <w:r w:rsidRPr="0361B61D" w:rsidR="7D035EA0">
        <w:rPr>
          <w:rFonts w:ascii="Aptos" w:hAnsi="Aptos" w:eastAsia="Aptos" w:cs="Aptos"/>
          <w:b w:val="0"/>
          <w:bCs w:val="0"/>
        </w:rPr>
        <w:t>of</w:t>
      </w:r>
      <w:r w:rsidRPr="0361B61D" w:rsidR="77F6B296">
        <w:rPr>
          <w:rFonts w:ascii="Aptos" w:hAnsi="Aptos" w:eastAsia="Aptos" w:cs="Aptos"/>
          <w:b w:val="0"/>
          <w:bCs w:val="0"/>
        </w:rPr>
        <w:t xml:space="preserve"> </w:t>
      </w:r>
      <w:r w:rsidRPr="0361B61D" w:rsidR="7D035EA0">
        <w:rPr>
          <w:rFonts w:ascii="Aptos" w:hAnsi="Aptos" w:eastAsia="Aptos" w:cs="Aptos"/>
          <w:b w:val="0"/>
          <w:bCs w:val="0"/>
        </w:rPr>
        <w:t>Interest</w:t>
      </w:r>
      <w:bookmarkEnd w:id="614558215"/>
      <w:r w:rsidRPr="0361B61D" w:rsidR="3A2ECBEC">
        <w:rPr>
          <w:rFonts w:ascii="Aptos" w:hAnsi="Aptos" w:eastAsia="Aptos" w:cs="Aptos"/>
          <w:b w:val="0"/>
          <w:bCs w:val="0"/>
        </w:rPr>
        <w:t xml:space="preserve"> Policy</w:t>
      </w:r>
      <w:r w:rsidRPr="0361B61D" w:rsidR="3A2ECBEC">
        <w:rPr>
          <w:rFonts w:ascii="Aptos" w:hAnsi="Aptos" w:eastAsia="Aptos" w:cs="Aptos"/>
          <w:b w:val="1"/>
          <w:bCs w:val="1"/>
        </w:rPr>
        <w:t xml:space="preserve"> </w:t>
      </w:r>
      <w:r w:rsidRPr="0361B61D" w:rsidR="3A2ECBEC">
        <w:rPr>
          <w:rFonts w:ascii="Aptos" w:hAnsi="Aptos" w:eastAsia="Aptos" w:cs="Aptos"/>
        </w:rPr>
        <w:t xml:space="preserve">has been developed to ensure that decisions </w:t>
      </w:r>
      <w:r w:rsidRPr="0361B61D" w:rsidR="3A2ECBEC">
        <w:rPr>
          <w:rFonts w:ascii="Aptos" w:hAnsi="Aptos" w:eastAsia="Aptos" w:cs="Aptos"/>
        </w:rPr>
        <w:t>regarding</w:t>
      </w:r>
      <w:r w:rsidRPr="0361B61D" w:rsidR="3A2ECBEC">
        <w:rPr>
          <w:rFonts w:ascii="Aptos" w:hAnsi="Aptos" w:eastAsia="Aptos" w:cs="Aptos"/>
        </w:rPr>
        <w:t xml:space="preserve"> grant funding and pro-bono support distribution are made objectively, without undue influence from personal or organisational relationships.</w:t>
      </w:r>
    </w:p>
    <w:p w:rsidR="34354AA4" w:rsidP="18504B58" w:rsidRDefault="34354AA4" w14:paraId="24193649" w14:textId="7E08F11F">
      <w:pPr>
        <w:spacing w:before="240" w:after="240"/>
        <w:rPr>
          <w:rFonts w:ascii="Aptos" w:hAnsi="Aptos" w:eastAsia="Aptos" w:cs="Aptos"/>
        </w:rPr>
      </w:pPr>
      <w:r w:rsidRPr="5884C9AC" w:rsidR="34354AA4">
        <w:rPr>
          <w:rFonts w:ascii="Aptos" w:hAnsi="Aptos" w:eastAsia="Aptos" w:cs="Aptos"/>
        </w:rPr>
        <w:t xml:space="preserve">As a </w:t>
      </w:r>
      <w:r w:rsidRPr="5884C9AC" w:rsidR="6CEE3CD4">
        <w:rPr>
          <w:rFonts w:ascii="Aptos" w:hAnsi="Aptos" w:eastAsia="Aptos" w:cs="Aptos"/>
        </w:rPr>
        <w:t xml:space="preserve">place-based organisation, </w:t>
      </w:r>
      <w:r w:rsidRPr="5884C9AC" w:rsidR="7821B0C8">
        <w:rPr>
          <w:rFonts w:ascii="Aptos" w:hAnsi="Aptos" w:eastAsia="Aptos" w:cs="Aptos"/>
        </w:rPr>
        <w:t>we expect that staff members, volunteers, members of our steering group, and members of our resident grant panels may be involved in social action</w:t>
      </w:r>
      <w:r w:rsidRPr="5884C9AC" w:rsidR="6C1F68D2">
        <w:rPr>
          <w:rFonts w:ascii="Aptos" w:hAnsi="Aptos" w:eastAsia="Aptos" w:cs="Aptos"/>
        </w:rPr>
        <w:t>, community groups, or</w:t>
      </w:r>
      <w:r w:rsidRPr="5884C9AC" w:rsidR="5245D6BC">
        <w:rPr>
          <w:rFonts w:ascii="Aptos" w:hAnsi="Aptos" w:eastAsia="Aptos" w:cs="Aptos"/>
        </w:rPr>
        <w:t xml:space="preserve"> local</w:t>
      </w:r>
      <w:r w:rsidRPr="5884C9AC" w:rsidR="6C1F68D2">
        <w:rPr>
          <w:rFonts w:ascii="Aptos" w:hAnsi="Aptos" w:eastAsia="Aptos" w:cs="Aptos"/>
        </w:rPr>
        <w:t xml:space="preserve"> charit</w:t>
      </w:r>
      <w:r w:rsidRPr="5884C9AC" w:rsidR="6CF63EA5">
        <w:rPr>
          <w:rFonts w:ascii="Aptos" w:hAnsi="Aptos" w:eastAsia="Aptos" w:cs="Aptos"/>
        </w:rPr>
        <w:t>ies</w:t>
      </w:r>
      <w:r w:rsidRPr="5884C9AC" w:rsidR="7E22A79D">
        <w:rPr>
          <w:rFonts w:ascii="Aptos" w:hAnsi="Aptos" w:eastAsia="Aptos" w:cs="Aptos"/>
        </w:rPr>
        <w:t xml:space="preserve"> in the borough</w:t>
      </w:r>
      <w:r w:rsidRPr="5884C9AC" w:rsidR="2FC98C38">
        <w:rPr>
          <w:rFonts w:ascii="Aptos" w:hAnsi="Aptos" w:eastAsia="Aptos" w:cs="Aptos"/>
        </w:rPr>
        <w:t xml:space="preserve">, </w:t>
      </w:r>
      <w:r w:rsidRPr="5884C9AC" w:rsidR="6C1F68D2">
        <w:rPr>
          <w:rFonts w:ascii="Aptos" w:hAnsi="Aptos" w:eastAsia="Aptos" w:cs="Aptos"/>
        </w:rPr>
        <w:t xml:space="preserve">beyond the scope of their involvement with Greenwich Giving. </w:t>
      </w:r>
      <w:r w:rsidRPr="5884C9AC" w:rsidR="34354AA4">
        <w:rPr>
          <w:rFonts w:ascii="Aptos" w:hAnsi="Aptos" w:eastAsia="Aptos" w:cs="Aptos"/>
        </w:rPr>
        <w:t xml:space="preserve">This grant policy sets out how Greenwich Giving looks to declare and </w:t>
      </w:r>
      <w:r w:rsidRPr="5884C9AC" w:rsidR="3EC93297">
        <w:rPr>
          <w:rFonts w:ascii="Aptos" w:hAnsi="Aptos" w:eastAsia="Aptos" w:cs="Aptos"/>
        </w:rPr>
        <w:t xml:space="preserve">mitigate </w:t>
      </w:r>
      <w:r w:rsidRPr="5884C9AC" w:rsidR="34354AA4">
        <w:rPr>
          <w:rFonts w:ascii="Aptos" w:hAnsi="Aptos" w:eastAsia="Aptos" w:cs="Aptos"/>
        </w:rPr>
        <w:t>any potential conflicts of interest that may arise from</w:t>
      </w:r>
      <w:r w:rsidRPr="5884C9AC" w:rsidR="379C6D7D">
        <w:rPr>
          <w:rFonts w:ascii="Aptos" w:hAnsi="Aptos" w:eastAsia="Aptos" w:cs="Aptos"/>
        </w:rPr>
        <w:t xml:space="preserve"> </w:t>
      </w:r>
      <w:r w:rsidRPr="5884C9AC" w:rsidR="08CFABB9">
        <w:rPr>
          <w:rFonts w:ascii="Aptos" w:hAnsi="Aptos" w:eastAsia="Aptos" w:cs="Aptos"/>
        </w:rPr>
        <w:t>this,</w:t>
      </w:r>
      <w:r w:rsidRPr="5884C9AC" w:rsidR="379C6D7D">
        <w:rPr>
          <w:rFonts w:ascii="Aptos" w:hAnsi="Aptos" w:eastAsia="Aptos" w:cs="Aptos"/>
        </w:rPr>
        <w:t xml:space="preserve"> </w:t>
      </w:r>
      <w:r w:rsidRPr="5884C9AC" w:rsidR="7F4D24AA">
        <w:rPr>
          <w:rFonts w:ascii="Aptos" w:hAnsi="Aptos" w:eastAsia="Aptos" w:cs="Aptos"/>
        </w:rPr>
        <w:t>maintaining</w:t>
      </w:r>
      <w:r w:rsidRPr="5884C9AC" w:rsidR="7F4D24AA">
        <w:rPr>
          <w:rFonts w:ascii="Aptos" w:hAnsi="Aptos" w:eastAsia="Aptos" w:cs="Aptos"/>
        </w:rPr>
        <w:t xml:space="preserve"> public trust in our governance and decision-making processes</w:t>
      </w:r>
      <w:r w:rsidRPr="5884C9AC" w:rsidR="1D098DBB">
        <w:rPr>
          <w:rFonts w:ascii="Aptos" w:hAnsi="Aptos" w:eastAsia="Aptos" w:cs="Aptos"/>
        </w:rPr>
        <w:t xml:space="preserve">. </w:t>
      </w:r>
    </w:p>
    <w:p w:rsidR="6CCD488D" w:rsidP="5884C9AC" w:rsidRDefault="6CCD488D" w14:paraId="699A8B2E" w14:textId="5DAD4B73">
      <w:pPr>
        <w:spacing w:before="240" w:after="240"/>
        <w:rPr>
          <w:rFonts w:ascii="Aptos" w:hAnsi="Aptos" w:eastAsia="Aptos" w:cs="Aptos"/>
        </w:rPr>
      </w:pPr>
      <w:r w:rsidRPr="2B1FC677" w:rsidR="6CCD488D">
        <w:rPr>
          <w:rFonts w:ascii="Aptos" w:hAnsi="Aptos" w:eastAsia="Aptos" w:cs="Aptos"/>
        </w:rPr>
        <w:t>Greenwich Giving is currently incubated by METRO Charity, with plans for this arrangement to continue for the first three years of the initiative</w:t>
      </w:r>
      <w:r w:rsidRPr="2B1FC677" w:rsidR="41AACBA8">
        <w:rPr>
          <w:rFonts w:ascii="Aptos" w:hAnsi="Aptos" w:eastAsia="Aptos" w:cs="Aptos"/>
        </w:rPr>
        <w:t xml:space="preserve"> (2024-2027)</w:t>
      </w:r>
      <w:r w:rsidRPr="2B1FC677" w:rsidR="6CCD488D">
        <w:rPr>
          <w:rFonts w:ascii="Aptos" w:hAnsi="Aptos" w:eastAsia="Aptos" w:cs="Aptos"/>
        </w:rPr>
        <w:t>.</w:t>
      </w:r>
      <w:r w:rsidRPr="2B1FC677" w:rsidR="68F16854">
        <w:rPr>
          <w:rFonts w:ascii="Aptos" w:hAnsi="Aptos" w:eastAsia="Aptos" w:cs="Aptos"/>
        </w:rPr>
        <w:t xml:space="preserve"> </w:t>
      </w:r>
      <w:r w:rsidRPr="2B1FC677" w:rsidR="6CCD488D">
        <w:rPr>
          <w:rFonts w:ascii="Aptos" w:hAnsi="Aptos" w:eastAsia="Aptos" w:cs="Aptos"/>
        </w:rPr>
        <w:t xml:space="preserve">Greenwich Giving </w:t>
      </w:r>
      <w:r w:rsidRPr="2B1FC677" w:rsidR="056F8327">
        <w:rPr>
          <w:rFonts w:ascii="Aptos" w:hAnsi="Aptos" w:eastAsia="Aptos" w:cs="Aptos"/>
        </w:rPr>
        <w:t>receives</w:t>
      </w:r>
      <w:r w:rsidRPr="2B1FC677" w:rsidR="75ED308F">
        <w:rPr>
          <w:rFonts w:ascii="Aptos" w:hAnsi="Aptos" w:eastAsia="Aptos" w:cs="Aptos"/>
        </w:rPr>
        <w:t xml:space="preserve"> </w:t>
      </w:r>
      <w:r w:rsidRPr="2B1FC677" w:rsidR="75ED308F">
        <w:rPr>
          <w:rFonts w:ascii="Aptos" w:hAnsi="Aptos" w:eastAsia="Aptos" w:cs="Aptos"/>
        </w:rPr>
        <w:t>practical</w:t>
      </w:r>
      <w:r w:rsidRPr="2B1FC677" w:rsidR="3DF7E0D1">
        <w:rPr>
          <w:rFonts w:ascii="Aptos" w:hAnsi="Aptos" w:eastAsia="Aptos" w:cs="Aptos"/>
        </w:rPr>
        <w:t xml:space="preserve"> support from METRO and both organisations work towards the mutual aim of creating positive social impact in </w:t>
      </w:r>
      <w:r w:rsidRPr="2B1FC677" w:rsidR="7A07EF4B">
        <w:rPr>
          <w:rFonts w:ascii="Aptos" w:hAnsi="Aptos" w:eastAsia="Aptos" w:cs="Aptos"/>
        </w:rPr>
        <w:t xml:space="preserve">the Royal Borough of </w:t>
      </w:r>
      <w:r w:rsidRPr="2B1FC677" w:rsidR="3DF7E0D1">
        <w:rPr>
          <w:rFonts w:ascii="Aptos" w:hAnsi="Aptos" w:eastAsia="Aptos" w:cs="Aptos"/>
        </w:rPr>
        <w:t>Greenwich borough</w:t>
      </w:r>
      <w:r w:rsidRPr="2B1FC677" w:rsidR="0BB7FD9E">
        <w:rPr>
          <w:rFonts w:ascii="Aptos" w:hAnsi="Aptos" w:eastAsia="Aptos" w:cs="Aptos"/>
        </w:rPr>
        <w:t>. However,</w:t>
      </w:r>
      <w:r w:rsidRPr="2B1FC677" w:rsidR="3DF7E0D1">
        <w:rPr>
          <w:rFonts w:ascii="Aptos" w:hAnsi="Aptos" w:eastAsia="Aptos" w:cs="Aptos"/>
        </w:rPr>
        <w:t xml:space="preserve"> for the purposes of grant-making, pro-bono support distribution,</w:t>
      </w:r>
      <w:r w:rsidRPr="2B1FC677" w:rsidR="1846895C">
        <w:rPr>
          <w:rFonts w:ascii="Aptos" w:hAnsi="Aptos" w:eastAsia="Aptos" w:cs="Aptos"/>
        </w:rPr>
        <w:t xml:space="preserve"> and </w:t>
      </w:r>
      <w:r w:rsidRPr="2B1FC677" w:rsidR="4BA7D250">
        <w:rPr>
          <w:rFonts w:ascii="Aptos" w:hAnsi="Aptos" w:eastAsia="Aptos" w:cs="Aptos"/>
        </w:rPr>
        <w:t xml:space="preserve">community engagement, Greenwich Giving </w:t>
      </w:r>
      <w:r w:rsidRPr="2B1FC677" w:rsidR="4BA7D250">
        <w:rPr>
          <w:rFonts w:ascii="Aptos" w:hAnsi="Aptos" w:eastAsia="Aptos" w:cs="Aptos"/>
        </w:rPr>
        <w:t>operates</w:t>
      </w:r>
      <w:r w:rsidRPr="2B1FC677" w:rsidR="4BA7D250">
        <w:rPr>
          <w:rFonts w:ascii="Aptos" w:hAnsi="Aptos" w:eastAsia="Aptos" w:cs="Aptos"/>
        </w:rPr>
        <w:t xml:space="preserve"> as an independent decision</w:t>
      </w:r>
      <w:r w:rsidRPr="2B1FC677" w:rsidR="1713C4B9">
        <w:rPr>
          <w:rFonts w:ascii="Aptos" w:hAnsi="Aptos" w:eastAsia="Aptos" w:cs="Aptos"/>
        </w:rPr>
        <w:t>-</w:t>
      </w:r>
      <w:r w:rsidRPr="2B1FC677" w:rsidR="4BA7D250">
        <w:rPr>
          <w:rFonts w:ascii="Aptos" w:hAnsi="Aptos" w:eastAsia="Aptos" w:cs="Aptos"/>
        </w:rPr>
        <w:t>maker</w:t>
      </w:r>
      <w:r w:rsidRPr="2B1FC677" w:rsidR="4BA7D250">
        <w:rPr>
          <w:rFonts w:ascii="Aptos" w:hAnsi="Aptos" w:eastAsia="Aptos" w:cs="Aptos"/>
        </w:rPr>
        <w:t xml:space="preserve"> and organisation. This policy refers </w:t>
      </w:r>
      <w:r w:rsidRPr="2B1FC677" w:rsidR="5C136AA3">
        <w:rPr>
          <w:rFonts w:ascii="Aptos" w:hAnsi="Aptos" w:eastAsia="Aptos" w:cs="Aptos"/>
        </w:rPr>
        <w:t>specifically to processes set up</w:t>
      </w:r>
      <w:r w:rsidRPr="2B1FC677" w:rsidR="15DB6FE9">
        <w:rPr>
          <w:rFonts w:ascii="Aptos" w:hAnsi="Aptos" w:eastAsia="Aptos" w:cs="Aptos"/>
        </w:rPr>
        <w:t xml:space="preserve"> and followed</w:t>
      </w:r>
      <w:r w:rsidRPr="2B1FC677" w:rsidR="5C136AA3">
        <w:rPr>
          <w:rFonts w:ascii="Aptos" w:hAnsi="Aptos" w:eastAsia="Aptos" w:cs="Aptos"/>
        </w:rPr>
        <w:t xml:space="preserve"> by Greenwich Giving</w:t>
      </w:r>
      <w:r w:rsidRPr="2B1FC677" w:rsidR="2AC3EEB7">
        <w:rPr>
          <w:rFonts w:ascii="Aptos" w:hAnsi="Aptos" w:eastAsia="Aptos" w:cs="Aptos"/>
        </w:rPr>
        <w:t xml:space="preserve">. </w:t>
      </w:r>
    </w:p>
    <w:p w:rsidR="00627E2B" w:rsidP="2BB90664" w:rsidRDefault="3A2ECBEC" w14:paraId="00DF34EC" w14:textId="09A328BD">
      <w:pPr>
        <w:pStyle w:val="Heading3"/>
        <w:spacing w:before="281" w:after="281"/>
      </w:pPr>
      <w:r w:rsidRPr="2BB90664">
        <w:rPr>
          <w:rFonts w:ascii="Aptos" w:hAnsi="Aptos" w:eastAsia="Aptos" w:cs="Aptos"/>
          <w:b/>
          <w:bCs/>
        </w:rPr>
        <w:t>2. Purpose</w:t>
      </w:r>
    </w:p>
    <w:p w:rsidR="00627E2B" w:rsidP="2BB90664" w:rsidRDefault="3A2ECBEC" w14:paraId="06F0F95B" w14:textId="33983E5E">
      <w:pPr>
        <w:spacing w:before="240" w:after="240"/>
      </w:pPr>
      <w:r w:rsidRPr="2BB90664">
        <w:rPr>
          <w:rFonts w:ascii="Aptos" w:hAnsi="Aptos" w:eastAsia="Aptos" w:cs="Aptos"/>
        </w:rPr>
        <w:t>This policy aims to:</w:t>
      </w:r>
    </w:p>
    <w:p w:rsidR="00627E2B" w:rsidP="2BB90664" w:rsidRDefault="3A2ECBEC" w14:paraId="134BB00D" w14:textId="2B4AA213">
      <w:pPr>
        <w:pStyle w:val="ListParagraph"/>
        <w:numPr>
          <w:ilvl w:val="0"/>
          <w:numId w:val="9"/>
        </w:numPr>
        <w:spacing w:after="0"/>
        <w:rPr>
          <w:rFonts w:ascii="Aptos" w:hAnsi="Aptos" w:eastAsia="Aptos" w:cs="Aptos"/>
        </w:rPr>
      </w:pPr>
      <w:r w:rsidRPr="2BB90664">
        <w:rPr>
          <w:rFonts w:ascii="Aptos" w:hAnsi="Aptos" w:eastAsia="Aptos" w:cs="Aptos"/>
        </w:rPr>
        <w:t>Define conflicts of interest within the context of Greenwich Giving's operations</w:t>
      </w:r>
    </w:p>
    <w:p w:rsidR="00627E2B" w:rsidP="2BB90664" w:rsidRDefault="3A2ECBEC" w14:paraId="4D59F1FE" w14:textId="4768CD66">
      <w:pPr>
        <w:pStyle w:val="ListParagraph"/>
        <w:numPr>
          <w:ilvl w:val="0"/>
          <w:numId w:val="9"/>
        </w:numPr>
        <w:spacing w:after="0"/>
        <w:rPr>
          <w:rFonts w:ascii="Aptos" w:hAnsi="Aptos" w:eastAsia="Aptos" w:cs="Aptos"/>
        </w:rPr>
      </w:pPr>
      <w:r w:rsidRPr="2BB90664">
        <w:rPr>
          <w:rFonts w:ascii="Aptos" w:hAnsi="Aptos" w:eastAsia="Aptos" w:cs="Aptos"/>
        </w:rPr>
        <w:t>Establish procedures for identifying, disclosing, and managing conflicts of interest</w:t>
      </w:r>
    </w:p>
    <w:p w:rsidR="00627E2B" w:rsidP="2BB90664" w:rsidRDefault="3A2ECBEC" w14:paraId="4DE512D9" w14:textId="44642FBE">
      <w:pPr>
        <w:pStyle w:val="ListParagraph"/>
        <w:numPr>
          <w:ilvl w:val="0"/>
          <w:numId w:val="9"/>
        </w:numPr>
        <w:spacing w:after="0"/>
        <w:rPr>
          <w:rFonts w:ascii="Aptos" w:hAnsi="Aptos" w:eastAsia="Aptos" w:cs="Aptos"/>
        </w:rPr>
      </w:pPr>
      <w:r w:rsidRPr="2BB90664">
        <w:rPr>
          <w:rFonts w:ascii="Aptos" w:hAnsi="Aptos" w:eastAsia="Aptos" w:cs="Aptos"/>
        </w:rPr>
        <w:t>Ensure fair and equitable distribution of grants and pro-bono support</w:t>
      </w:r>
    </w:p>
    <w:p w:rsidR="3A2ECBEC" w:rsidP="0361B61D" w:rsidRDefault="3A2ECBEC" w14:paraId="2B0A8950" w14:textId="50685B90">
      <w:pPr>
        <w:pStyle w:val="ListParagraph"/>
        <w:numPr>
          <w:ilvl w:val="0"/>
          <w:numId w:val="9"/>
        </w:numPr>
        <w:spacing w:after="0"/>
        <w:rPr>
          <w:rFonts w:ascii="Aptos" w:hAnsi="Aptos" w:eastAsia="Aptos" w:cs="Aptos"/>
        </w:rPr>
      </w:pPr>
      <w:r w:rsidRPr="0361B61D" w:rsidR="3A2ECBEC">
        <w:rPr>
          <w:rFonts w:ascii="Aptos" w:hAnsi="Aptos" w:eastAsia="Aptos" w:cs="Aptos"/>
        </w:rPr>
        <w:t>Protect the integrity and reputation of Greenwich Giving, METRO Charity, and all associated organisations</w:t>
      </w:r>
    </w:p>
    <w:p w:rsidR="00627E2B" w:rsidP="2BB90664" w:rsidRDefault="3A2ECBEC" w14:paraId="036520AE" w14:textId="69079816">
      <w:pPr>
        <w:pStyle w:val="Heading3"/>
        <w:spacing w:before="281" w:after="281"/>
      </w:pPr>
      <w:r w:rsidRPr="2BB90664">
        <w:rPr>
          <w:rFonts w:ascii="Aptos" w:hAnsi="Aptos" w:eastAsia="Aptos" w:cs="Aptos"/>
          <w:b/>
          <w:bCs/>
        </w:rPr>
        <w:t>3. Scope</w:t>
      </w:r>
    </w:p>
    <w:p w:rsidR="00627E2B" w:rsidP="2BB90664" w:rsidRDefault="3A2ECBEC" w14:paraId="559C2769" w14:textId="113E25D7">
      <w:pPr>
        <w:spacing w:before="240" w:after="240"/>
      </w:pPr>
      <w:r w:rsidRPr="2BB90664">
        <w:rPr>
          <w:rFonts w:ascii="Aptos" w:hAnsi="Aptos" w:eastAsia="Aptos" w:cs="Aptos"/>
        </w:rPr>
        <w:t>This policy applies to:</w:t>
      </w:r>
    </w:p>
    <w:p w:rsidR="00627E2B" w:rsidP="2BB90664" w:rsidRDefault="3A2ECBEC" w14:paraId="7D4C7818" w14:textId="76C0559A">
      <w:pPr>
        <w:pStyle w:val="ListParagraph"/>
        <w:numPr>
          <w:ilvl w:val="0"/>
          <w:numId w:val="8"/>
        </w:numPr>
        <w:spacing w:after="0"/>
        <w:rPr>
          <w:rFonts w:ascii="Aptos" w:hAnsi="Aptos" w:eastAsia="Aptos" w:cs="Aptos"/>
        </w:rPr>
      </w:pPr>
      <w:r w:rsidRPr="2B1FC677" w:rsidR="3A2ECBEC">
        <w:rPr>
          <w:rFonts w:ascii="Aptos" w:hAnsi="Aptos" w:eastAsia="Aptos" w:cs="Aptos"/>
        </w:rPr>
        <w:t>All staff members</w:t>
      </w:r>
      <w:r w:rsidRPr="2B1FC677" w:rsidR="185C71A5">
        <w:rPr>
          <w:rFonts w:ascii="Aptos" w:hAnsi="Aptos" w:eastAsia="Aptos" w:cs="Aptos"/>
        </w:rPr>
        <w:t xml:space="preserve"> and volunteers</w:t>
      </w:r>
      <w:r w:rsidRPr="2B1FC677" w:rsidR="3A2ECBEC">
        <w:rPr>
          <w:rFonts w:ascii="Aptos" w:hAnsi="Aptos" w:eastAsia="Aptos" w:cs="Aptos"/>
        </w:rPr>
        <w:t xml:space="preserve"> </w:t>
      </w:r>
      <w:r w:rsidRPr="2B1FC677" w:rsidR="0C1CDB44">
        <w:rPr>
          <w:rFonts w:ascii="Aptos" w:hAnsi="Aptos" w:eastAsia="Aptos" w:cs="Aptos"/>
        </w:rPr>
        <w:t xml:space="preserve">within </w:t>
      </w:r>
      <w:r w:rsidRPr="2B1FC677" w:rsidR="3A2ECBEC">
        <w:rPr>
          <w:rFonts w:ascii="Aptos" w:hAnsi="Aptos" w:eastAsia="Aptos" w:cs="Aptos"/>
        </w:rPr>
        <w:t xml:space="preserve">Greenwich </w:t>
      </w:r>
      <w:r w:rsidRPr="2B1FC677" w:rsidR="3A2ECBEC">
        <w:rPr>
          <w:rFonts w:ascii="Aptos" w:hAnsi="Aptos" w:eastAsia="Aptos" w:cs="Aptos"/>
        </w:rPr>
        <w:t>Giving</w:t>
      </w:r>
    </w:p>
    <w:p w:rsidR="00627E2B" w:rsidP="2BB90664" w:rsidRDefault="3A2ECBEC" w14:paraId="3D6B56BD" w14:textId="0C019E92">
      <w:pPr>
        <w:pStyle w:val="ListParagraph"/>
        <w:numPr>
          <w:ilvl w:val="0"/>
          <w:numId w:val="8"/>
        </w:numPr>
        <w:spacing w:after="0"/>
        <w:rPr>
          <w:rFonts w:ascii="Aptos" w:hAnsi="Aptos" w:eastAsia="Aptos" w:cs="Aptos"/>
        </w:rPr>
      </w:pPr>
      <w:r w:rsidRPr="2BB90664">
        <w:rPr>
          <w:rFonts w:ascii="Aptos" w:hAnsi="Aptos" w:eastAsia="Aptos" w:cs="Aptos"/>
        </w:rPr>
        <w:t>Members of the Greenwich Giving Steering Group</w:t>
      </w:r>
    </w:p>
    <w:p w:rsidR="00627E2B" w:rsidP="2BB90664" w:rsidRDefault="3A2ECBEC" w14:paraId="536D1A1B" w14:textId="5DB64453">
      <w:pPr>
        <w:pStyle w:val="ListParagraph"/>
        <w:numPr>
          <w:ilvl w:val="0"/>
          <w:numId w:val="8"/>
        </w:numPr>
        <w:spacing w:after="0"/>
        <w:rPr>
          <w:rFonts w:ascii="Aptos" w:hAnsi="Aptos" w:eastAsia="Aptos" w:cs="Aptos"/>
        </w:rPr>
      </w:pPr>
      <w:r w:rsidRPr="2BB90664">
        <w:rPr>
          <w:rFonts w:ascii="Aptos" w:hAnsi="Aptos" w:eastAsia="Aptos" w:cs="Aptos"/>
        </w:rPr>
        <w:t>Representatives from METRO Charity involved in Greenwich Giving operations</w:t>
      </w:r>
    </w:p>
    <w:p w:rsidR="00627E2B" w:rsidP="2BB90664" w:rsidRDefault="3A2ECBEC" w14:paraId="607C0936" w14:textId="69F367D0">
      <w:pPr>
        <w:pStyle w:val="ListParagraph"/>
        <w:numPr>
          <w:ilvl w:val="0"/>
          <w:numId w:val="8"/>
        </w:numPr>
        <w:spacing w:after="0"/>
        <w:rPr>
          <w:rFonts w:ascii="Aptos" w:hAnsi="Aptos" w:eastAsia="Aptos" w:cs="Aptos"/>
        </w:rPr>
      </w:pPr>
      <w:r w:rsidRPr="2B1FC677" w:rsidR="3A2ECBEC">
        <w:rPr>
          <w:rFonts w:ascii="Aptos" w:hAnsi="Aptos" w:eastAsia="Aptos" w:cs="Aptos"/>
        </w:rPr>
        <w:t>Any individuals involved in grant decision-making processes or allocation of pro-bono support</w:t>
      </w:r>
      <w:r w:rsidRPr="2B1FC677" w:rsidR="47D99CA1">
        <w:rPr>
          <w:rFonts w:ascii="Aptos" w:hAnsi="Aptos" w:eastAsia="Aptos" w:cs="Aptos"/>
        </w:rPr>
        <w:t>, for example</w:t>
      </w:r>
      <w:r w:rsidRPr="2B1FC677" w:rsidR="74DB501F">
        <w:rPr>
          <w:rFonts w:ascii="Aptos" w:hAnsi="Aptos" w:eastAsia="Aptos" w:cs="Aptos"/>
        </w:rPr>
        <w:t>,</w:t>
      </w:r>
      <w:r w:rsidRPr="2B1FC677" w:rsidR="47D99CA1">
        <w:rPr>
          <w:rFonts w:ascii="Aptos" w:hAnsi="Aptos" w:eastAsia="Aptos" w:cs="Aptos"/>
        </w:rPr>
        <w:t xml:space="preserve"> </w:t>
      </w:r>
      <w:r w:rsidRPr="2B1FC677" w:rsidR="31EB5AB4">
        <w:rPr>
          <w:rFonts w:ascii="Aptos" w:hAnsi="Aptos" w:eastAsia="Aptos" w:cs="Aptos"/>
        </w:rPr>
        <w:t>those who sit on</w:t>
      </w:r>
      <w:r w:rsidRPr="2B1FC677" w:rsidR="4D172AFE">
        <w:rPr>
          <w:rFonts w:ascii="Aptos" w:hAnsi="Aptos" w:eastAsia="Aptos" w:cs="Aptos"/>
        </w:rPr>
        <w:t xml:space="preserve"> </w:t>
      </w:r>
      <w:r w:rsidRPr="2B1FC677" w:rsidR="47D99CA1">
        <w:rPr>
          <w:rFonts w:ascii="Aptos" w:hAnsi="Aptos" w:eastAsia="Aptos" w:cs="Aptos"/>
        </w:rPr>
        <w:t>resident grant panels</w:t>
      </w:r>
      <w:r w:rsidRPr="2B1FC677" w:rsidR="729D7736">
        <w:rPr>
          <w:rFonts w:ascii="Aptos" w:hAnsi="Aptos" w:eastAsia="Aptos" w:cs="Aptos"/>
        </w:rPr>
        <w:t xml:space="preserve"> in the future </w:t>
      </w:r>
    </w:p>
    <w:p w:rsidR="00627E2B" w:rsidP="2BB90664" w:rsidRDefault="3A2ECBEC" w14:paraId="49E07A8C" w14:textId="61FBFC1F">
      <w:pPr>
        <w:pStyle w:val="Heading3"/>
        <w:spacing w:before="281" w:after="281"/>
      </w:pPr>
      <w:r w:rsidRPr="2BB90664">
        <w:rPr>
          <w:rFonts w:ascii="Aptos" w:hAnsi="Aptos" w:eastAsia="Aptos" w:cs="Aptos"/>
          <w:b/>
          <w:bCs/>
        </w:rPr>
        <w:t>4. Definition of Conflict of Interest</w:t>
      </w:r>
    </w:p>
    <w:p w:rsidR="00627E2B" w:rsidP="2BB90664" w:rsidRDefault="3A2ECBEC" w14:paraId="1DE3BDCF" w14:textId="1AB35A1A">
      <w:pPr>
        <w:spacing w:before="240" w:after="240"/>
      </w:pPr>
      <w:r w:rsidRPr="652FFC03">
        <w:rPr>
          <w:rFonts w:ascii="Aptos" w:hAnsi="Aptos" w:eastAsia="Aptos" w:cs="Aptos"/>
        </w:rPr>
        <w:t>A conflict of interest arises when an individual's personal interests, loyalties, or connections could, or could be perceived to, influence their judgement or decision-making in their role with Greenwich Giving.</w:t>
      </w:r>
    </w:p>
    <w:p w:rsidR="00627E2B" w:rsidP="2BB90664" w:rsidRDefault="3A2ECBEC" w14:paraId="52F531FF" w14:textId="2052537E">
      <w:pPr>
        <w:spacing w:before="240" w:after="240"/>
      </w:pPr>
      <w:r w:rsidRPr="674F10EC" w:rsidR="3A2ECBEC">
        <w:rPr>
          <w:rFonts w:ascii="Aptos" w:hAnsi="Aptos" w:eastAsia="Aptos" w:cs="Aptos"/>
        </w:rPr>
        <w:t>Examples include but are not limited to:</w:t>
      </w:r>
    </w:p>
    <w:p w:rsidR="00627E2B" w:rsidP="2BB90664" w:rsidRDefault="3A2ECBEC" w14:paraId="78EAE19F" w14:textId="72425D7D">
      <w:pPr>
        <w:pStyle w:val="ListParagraph"/>
        <w:numPr>
          <w:ilvl w:val="0"/>
          <w:numId w:val="7"/>
        </w:numPr>
        <w:spacing w:after="0"/>
        <w:rPr>
          <w:rFonts w:ascii="Aptos" w:hAnsi="Aptos" w:eastAsia="Aptos" w:cs="Aptos"/>
        </w:rPr>
      </w:pPr>
      <w:r w:rsidRPr="2B1FC677" w:rsidR="3A2ECBEC">
        <w:rPr>
          <w:rFonts w:ascii="Aptos" w:hAnsi="Aptos" w:eastAsia="Aptos" w:cs="Aptos"/>
        </w:rPr>
        <w:t>Being employed by</w:t>
      </w:r>
      <w:r w:rsidRPr="2B1FC677" w:rsidR="5ADD7C71">
        <w:rPr>
          <w:rFonts w:ascii="Aptos" w:hAnsi="Aptos" w:eastAsia="Aptos" w:cs="Aptos"/>
        </w:rPr>
        <w:t>,</w:t>
      </w:r>
      <w:r w:rsidRPr="2B1FC677" w:rsidR="3A2ECBEC">
        <w:rPr>
          <w:rFonts w:ascii="Aptos" w:hAnsi="Aptos" w:eastAsia="Aptos" w:cs="Aptos"/>
        </w:rPr>
        <w:t xml:space="preserve"> or serving on the board of</w:t>
      </w:r>
      <w:r w:rsidRPr="2B1FC677" w:rsidR="6CEC287C">
        <w:rPr>
          <w:rFonts w:ascii="Aptos" w:hAnsi="Aptos" w:eastAsia="Aptos" w:cs="Aptos"/>
        </w:rPr>
        <w:t>,</w:t>
      </w:r>
      <w:r w:rsidRPr="2B1FC677" w:rsidR="3A2ECBEC">
        <w:rPr>
          <w:rFonts w:ascii="Aptos" w:hAnsi="Aptos" w:eastAsia="Aptos" w:cs="Aptos"/>
        </w:rPr>
        <w:t xml:space="preserve"> an organisation</w:t>
      </w:r>
      <w:r w:rsidRPr="2B1FC677" w:rsidR="63C2D659">
        <w:rPr>
          <w:rFonts w:ascii="Aptos" w:hAnsi="Aptos" w:eastAsia="Aptos" w:cs="Aptos"/>
        </w:rPr>
        <w:t xml:space="preserve"> </w:t>
      </w:r>
      <w:r w:rsidRPr="2B1FC677" w:rsidR="6B0A94FC">
        <w:rPr>
          <w:rFonts w:ascii="Aptos" w:hAnsi="Aptos" w:eastAsia="Aptos" w:cs="Aptos"/>
        </w:rPr>
        <w:t xml:space="preserve">that </w:t>
      </w:r>
      <w:r w:rsidRPr="2B1FC677" w:rsidR="63C2D659">
        <w:rPr>
          <w:rFonts w:ascii="Aptos" w:hAnsi="Aptos" w:eastAsia="Aptos" w:cs="Aptos"/>
        </w:rPr>
        <w:t>has applied for funding or requested specific pro-bono support</w:t>
      </w:r>
    </w:p>
    <w:p w:rsidR="00627E2B" w:rsidP="2BB90664" w:rsidRDefault="3A2ECBEC" w14:paraId="6DACD5C5" w14:textId="7767C2A0">
      <w:pPr>
        <w:pStyle w:val="ListParagraph"/>
        <w:numPr>
          <w:ilvl w:val="0"/>
          <w:numId w:val="7"/>
        </w:numPr>
        <w:spacing w:after="0"/>
        <w:rPr>
          <w:rFonts w:ascii="Aptos" w:hAnsi="Aptos" w:eastAsia="Aptos" w:cs="Aptos"/>
        </w:rPr>
      </w:pPr>
      <w:r w:rsidRPr="0361B61D" w:rsidR="3A2ECBEC">
        <w:rPr>
          <w:rFonts w:ascii="Aptos" w:hAnsi="Aptos" w:eastAsia="Aptos" w:cs="Aptos"/>
        </w:rPr>
        <w:t>Having a close personal relationship with key individuals in an applicant organisation</w:t>
      </w:r>
      <w:r w:rsidRPr="0361B61D" w:rsidR="0B79856C">
        <w:rPr>
          <w:rFonts w:ascii="Aptos" w:hAnsi="Aptos" w:eastAsia="Aptos" w:cs="Aptos"/>
        </w:rPr>
        <w:t xml:space="preserve"> or with individual applicants </w:t>
      </w:r>
    </w:p>
    <w:p w:rsidR="4B5BDCB1" w:rsidP="0361B61D" w:rsidRDefault="4B5BDCB1" w14:paraId="5F6011DE" w14:textId="176E9EA6">
      <w:pPr>
        <w:pStyle w:val="ListParagraph"/>
        <w:numPr>
          <w:ilvl w:val="0"/>
          <w:numId w:val="7"/>
        </w:numPr>
        <w:spacing w:after="0"/>
        <w:rPr>
          <w:rFonts w:ascii="Aptos" w:hAnsi="Aptos" w:eastAsia="Aptos" w:cs="Aptos"/>
        </w:rPr>
      </w:pPr>
      <w:r w:rsidRPr="2B1FC677" w:rsidR="4B5BDCB1">
        <w:rPr>
          <w:rFonts w:ascii="Aptos" w:hAnsi="Aptos" w:eastAsia="Aptos" w:cs="Aptos"/>
        </w:rPr>
        <w:t>A staff or steering group member being a close family member of an applicant to a resident</w:t>
      </w:r>
      <w:r w:rsidRPr="2B1FC677" w:rsidR="4D67A8A5">
        <w:rPr>
          <w:rFonts w:ascii="Aptos" w:hAnsi="Aptos" w:eastAsia="Aptos" w:cs="Aptos"/>
        </w:rPr>
        <w:t>s</w:t>
      </w:r>
      <w:r w:rsidRPr="2B1FC677" w:rsidR="4B5BDCB1">
        <w:rPr>
          <w:rFonts w:ascii="Aptos" w:hAnsi="Aptos" w:eastAsia="Aptos" w:cs="Aptos"/>
        </w:rPr>
        <w:t xml:space="preserve"> grant panel</w:t>
      </w:r>
    </w:p>
    <w:p w:rsidR="00627E2B" w:rsidP="2BB90664" w:rsidRDefault="3A2ECBEC" w14:paraId="31500320" w14:textId="1916650B">
      <w:pPr>
        <w:pStyle w:val="ListParagraph"/>
        <w:numPr>
          <w:ilvl w:val="0"/>
          <w:numId w:val="7"/>
        </w:numPr>
        <w:spacing w:after="0"/>
        <w:rPr>
          <w:rFonts w:ascii="Aptos" w:hAnsi="Aptos" w:eastAsia="Aptos" w:cs="Aptos"/>
        </w:rPr>
      </w:pPr>
      <w:r w:rsidRPr="2BB90664">
        <w:rPr>
          <w:rFonts w:ascii="Aptos" w:hAnsi="Aptos" w:eastAsia="Aptos" w:cs="Aptos"/>
        </w:rPr>
        <w:t>Having recently worked for an applicant organisation</w:t>
      </w:r>
    </w:p>
    <w:p w:rsidR="00627E2B" w:rsidP="2BB90664" w:rsidRDefault="3A2ECBEC" w14:paraId="31CF8247" w14:textId="7C159A83">
      <w:pPr>
        <w:pStyle w:val="Heading3"/>
        <w:spacing w:before="281" w:after="281"/>
      </w:pPr>
      <w:r w:rsidRPr="0361B61D" w:rsidR="3A2ECBEC">
        <w:rPr>
          <w:rFonts w:ascii="Aptos" w:hAnsi="Aptos" w:eastAsia="Aptos" w:cs="Aptos"/>
          <w:b w:val="1"/>
          <w:bCs w:val="1"/>
        </w:rPr>
        <w:t>5. Key Principles</w:t>
      </w:r>
    </w:p>
    <w:p w:rsidR="5C80ABD7" w:rsidP="0361B61D" w:rsidRDefault="5C80ABD7" w14:paraId="3EE2D9AF" w14:textId="06606C52">
      <w:pPr>
        <w:pStyle w:val="Normal"/>
      </w:pPr>
      <w:r w:rsidR="5C80ABD7">
        <w:rPr/>
        <w:t>Greenwich Giving endeavours to follow these key principles when it comes to designing and running a</w:t>
      </w:r>
      <w:r w:rsidR="7A1AE4C9">
        <w:rPr/>
        <w:t>ny</w:t>
      </w:r>
      <w:r w:rsidR="5C80ABD7">
        <w:rPr/>
        <w:t xml:space="preserve"> grant-making and resource-distribution </w:t>
      </w:r>
    </w:p>
    <w:p w:rsidR="00627E2B" w:rsidP="2BB90664" w:rsidRDefault="3A2ECBEC" w14:paraId="333384C5" w14:textId="78856696">
      <w:pPr>
        <w:pStyle w:val="ListParagraph"/>
        <w:numPr>
          <w:ilvl w:val="0"/>
          <w:numId w:val="6"/>
        </w:numPr>
        <w:spacing w:after="0"/>
        <w:rPr>
          <w:rFonts w:ascii="Aptos" w:hAnsi="Aptos" w:eastAsia="Aptos" w:cs="Aptos"/>
        </w:rPr>
      </w:pPr>
      <w:r w:rsidRPr="0361B61D" w:rsidR="3A2ECBEC">
        <w:rPr>
          <w:rFonts w:ascii="Aptos" w:hAnsi="Aptos" w:eastAsia="Aptos" w:cs="Aptos"/>
          <w:b w:val="1"/>
          <w:bCs w:val="1"/>
        </w:rPr>
        <w:t>Equal Access</w:t>
      </w:r>
      <w:r w:rsidRPr="0361B61D" w:rsidR="3A2ECBEC">
        <w:rPr>
          <w:rFonts w:ascii="Aptos" w:hAnsi="Aptos" w:eastAsia="Aptos" w:cs="Aptos"/>
        </w:rPr>
        <w:t>: All eligible organisations in the Borough of Greenwich have equal access to information about grants and pro-bono opportunities</w:t>
      </w:r>
    </w:p>
    <w:p w:rsidR="00627E2B" w:rsidP="2BB90664" w:rsidRDefault="3A2ECBEC" w14:paraId="61C35BF7" w14:textId="2836C331">
      <w:pPr>
        <w:pStyle w:val="ListParagraph"/>
        <w:numPr>
          <w:ilvl w:val="0"/>
          <w:numId w:val="6"/>
        </w:numPr>
        <w:spacing w:after="0"/>
        <w:rPr>
          <w:rFonts w:ascii="Aptos" w:hAnsi="Aptos" w:eastAsia="Aptos" w:cs="Aptos"/>
        </w:rPr>
      </w:pPr>
      <w:r w:rsidRPr="2BB90664">
        <w:rPr>
          <w:rFonts w:ascii="Aptos" w:hAnsi="Aptos" w:eastAsia="Aptos" w:cs="Aptos"/>
          <w:b/>
          <w:bCs/>
        </w:rPr>
        <w:t>Merit-Based Selection</w:t>
      </w:r>
      <w:r w:rsidRPr="2BB90664">
        <w:rPr>
          <w:rFonts w:ascii="Aptos" w:hAnsi="Aptos" w:eastAsia="Aptos" w:cs="Aptos"/>
        </w:rPr>
        <w:t>: Grant awards are determined solely on the strength of applications against published criteria</w:t>
      </w:r>
    </w:p>
    <w:p w:rsidR="00627E2B" w:rsidP="2BB90664" w:rsidRDefault="3A2ECBEC" w14:paraId="4330AD50" w14:textId="2091F20B">
      <w:pPr>
        <w:pStyle w:val="ListParagraph"/>
        <w:numPr>
          <w:ilvl w:val="0"/>
          <w:numId w:val="6"/>
        </w:numPr>
        <w:spacing w:after="0"/>
        <w:rPr>
          <w:rFonts w:ascii="Aptos" w:hAnsi="Aptos" w:eastAsia="Aptos" w:cs="Aptos"/>
        </w:rPr>
      </w:pPr>
      <w:r w:rsidRPr="2BB90664">
        <w:rPr>
          <w:rFonts w:ascii="Aptos" w:hAnsi="Aptos" w:eastAsia="Aptos" w:cs="Aptos"/>
          <w:b/>
          <w:bCs/>
        </w:rPr>
        <w:t>Transparency</w:t>
      </w:r>
      <w:r w:rsidRPr="2BB90664">
        <w:rPr>
          <w:rFonts w:ascii="Aptos" w:hAnsi="Aptos" w:eastAsia="Aptos" w:cs="Aptos"/>
        </w:rPr>
        <w:t>: Decision-making processes are documented and can be scrutinised</w:t>
      </w:r>
    </w:p>
    <w:p w:rsidR="3A2ECBEC" w:rsidP="5884C9AC" w:rsidRDefault="3A2ECBEC" w14:paraId="2C2A6211" w14:textId="647C8723">
      <w:pPr>
        <w:pStyle w:val="ListParagraph"/>
        <w:numPr>
          <w:ilvl w:val="0"/>
          <w:numId w:val="6"/>
        </w:numPr>
        <w:spacing w:after="0"/>
        <w:rPr>
          <w:rFonts w:ascii="Aptos" w:hAnsi="Aptos" w:eastAsia="Aptos" w:cs="Aptos"/>
        </w:rPr>
      </w:pPr>
      <w:r w:rsidRPr="5884C9AC" w:rsidR="3A2ECBEC">
        <w:rPr>
          <w:rFonts w:ascii="Aptos" w:hAnsi="Aptos" w:eastAsia="Aptos" w:cs="Aptos"/>
          <w:b w:val="1"/>
          <w:bCs w:val="1"/>
        </w:rPr>
        <w:t>Independence</w:t>
      </w:r>
      <w:r w:rsidRPr="5884C9AC" w:rsidR="3A2ECBEC">
        <w:rPr>
          <w:rFonts w:ascii="Aptos" w:hAnsi="Aptos" w:eastAsia="Aptos" w:cs="Aptos"/>
        </w:rPr>
        <w:t>: Decisions are made free from improper influence</w:t>
      </w:r>
    </w:p>
    <w:p w:rsidR="4A98D8BC" w:rsidP="5884C9AC" w:rsidRDefault="4A98D8BC" w14:paraId="7E28CD23" w14:textId="6CBFC670">
      <w:pPr>
        <w:pStyle w:val="Heading3"/>
        <w:spacing w:before="281" w:after="281"/>
      </w:pPr>
      <w:r w:rsidRPr="5884C9AC" w:rsidR="4A98D8BC">
        <w:rPr>
          <w:rFonts w:ascii="Aptos" w:hAnsi="Aptos" w:eastAsia="Aptos" w:cs="Aptos"/>
          <w:b w:val="1"/>
          <w:bCs w:val="1"/>
        </w:rPr>
        <w:t>6. Steering Group Membership</w:t>
      </w:r>
    </w:p>
    <w:p w:rsidR="7777A2F5" w:rsidP="5884C9AC" w:rsidRDefault="7777A2F5" w14:paraId="4A052617" w14:textId="46F2D3BD">
      <w:pPr>
        <w:pStyle w:val="ListParagraph"/>
        <w:numPr>
          <w:ilvl w:val="0"/>
          <w:numId w:val="2"/>
        </w:numPr>
        <w:spacing w:after="240" w:afterAutospacing="off"/>
        <w:rPr>
          <w:rFonts w:ascii="Aptos" w:hAnsi="Aptos" w:eastAsia="Aptos" w:cs="Aptos"/>
        </w:rPr>
      </w:pPr>
      <w:r w:rsidRPr="2B1FC677" w:rsidR="7777A2F5">
        <w:rPr>
          <w:rFonts w:ascii="Aptos" w:hAnsi="Aptos" w:eastAsia="Aptos" w:cs="Aptos"/>
        </w:rPr>
        <w:t xml:space="preserve">The </w:t>
      </w:r>
      <w:r w:rsidRPr="2B1FC677" w:rsidR="4A98D8BC">
        <w:rPr>
          <w:rFonts w:ascii="Aptos" w:hAnsi="Aptos" w:eastAsia="Aptos" w:cs="Aptos"/>
        </w:rPr>
        <w:t xml:space="preserve">Steering Group </w:t>
      </w:r>
      <w:r w:rsidRPr="2B1FC677" w:rsidR="379944FE">
        <w:rPr>
          <w:rFonts w:ascii="Aptos" w:hAnsi="Aptos" w:eastAsia="Aptos" w:cs="Aptos"/>
        </w:rPr>
        <w:t>provides strategic guidance and advice to Greenwich Giving staff as to the operations and d</w:t>
      </w:r>
      <w:r w:rsidRPr="2B1FC677" w:rsidR="3C7A4CBA">
        <w:rPr>
          <w:rFonts w:ascii="Aptos" w:hAnsi="Aptos" w:eastAsia="Aptos" w:cs="Aptos"/>
        </w:rPr>
        <w:t>irection</w:t>
      </w:r>
      <w:r w:rsidRPr="2B1FC677" w:rsidR="379944FE">
        <w:rPr>
          <w:rFonts w:ascii="Aptos" w:hAnsi="Aptos" w:eastAsia="Aptos" w:cs="Aptos"/>
        </w:rPr>
        <w:t xml:space="preserve"> of the </w:t>
      </w:r>
      <w:r w:rsidRPr="2B1FC677" w:rsidR="5A32B24C">
        <w:rPr>
          <w:rFonts w:ascii="Aptos" w:hAnsi="Aptos" w:eastAsia="Aptos" w:cs="Aptos"/>
        </w:rPr>
        <w:t>organisation as a new charitable initiativ</w:t>
      </w:r>
      <w:r w:rsidRPr="2B1FC677" w:rsidR="6C9681B0">
        <w:rPr>
          <w:rFonts w:ascii="Aptos" w:hAnsi="Aptos" w:eastAsia="Aptos" w:cs="Aptos"/>
        </w:rPr>
        <w:t>e.</w:t>
      </w:r>
      <w:r w:rsidRPr="2B1FC677" w:rsidR="5A32B24C">
        <w:rPr>
          <w:rFonts w:ascii="Aptos" w:hAnsi="Aptos" w:eastAsia="Aptos" w:cs="Aptos"/>
        </w:rPr>
        <w:t xml:space="preserve"> The Steering Group was created during the </w:t>
      </w:r>
      <w:r w:rsidRPr="2B1FC677" w:rsidR="5A32B24C">
        <w:rPr>
          <w:rFonts w:ascii="Aptos" w:hAnsi="Aptos" w:eastAsia="Aptos" w:cs="Aptos"/>
        </w:rPr>
        <w:t>initial</w:t>
      </w:r>
      <w:r w:rsidRPr="2B1FC677" w:rsidR="5A32B24C">
        <w:rPr>
          <w:rFonts w:ascii="Aptos" w:hAnsi="Aptos" w:eastAsia="Aptos" w:cs="Aptos"/>
        </w:rPr>
        <w:t xml:space="preserve"> bid for Greenwich Giving funding </w:t>
      </w:r>
      <w:r w:rsidRPr="2B1FC677" w:rsidR="5A32B24C">
        <w:rPr>
          <w:rFonts w:ascii="Aptos" w:hAnsi="Aptos" w:eastAsia="Aptos" w:cs="Aptos"/>
        </w:rPr>
        <w:t>combi</w:t>
      </w:r>
      <w:r w:rsidRPr="2B1FC677" w:rsidR="11650B97">
        <w:rPr>
          <w:rFonts w:ascii="Aptos" w:hAnsi="Aptos" w:eastAsia="Aptos" w:cs="Aptos"/>
        </w:rPr>
        <w:t>n</w:t>
      </w:r>
      <w:r w:rsidRPr="2B1FC677" w:rsidR="11650B97">
        <w:rPr>
          <w:rFonts w:ascii="Aptos" w:hAnsi="Aptos" w:eastAsia="Aptos" w:cs="Aptos"/>
        </w:rPr>
        <w:t>i</w:t>
      </w:r>
      <w:r w:rsidRPr="2B1FC677" w:rsidR="5A32B24C">
        <w:rPr>
          <w:rFonts w:ascii="Aptos" w:hAnsi="Aptos" w:eastAsia="Aptos" w:cs="Aptos"/>
        </w:rPr>
        <w:t>n</w:t>
      </w:r>
      <w:r w:rsidRPr="2B1FC677" w:rsidR="5A32B24C">
        <w:rPr>
          <w:rFonts w:ascii="Aptos" w:hAnsi="Aptos" w:eastAsia="Aptos" w:cs="Aptos"/>
        </w:rPr>
        <w:t xml:space="preserve">g </w:t>
      </w:r>
      <w:r w:rsidRPr="2B1FC677" w:rsidR="5A32B24C">
        <w:rPr>
          <w:rFonts w:ascii="Aptos" w:hAnsi="Aptos" w:eastAsia="Aptos" w:cs="Aptos"/>
        </w:rPr>
        <w:t>ex</w:t>
      </w:r>
      <w:r w:rsidRPr="2B1FC677" w:rsidR="5A32B24C">
        <w:rPr>
          <w:rFonts w:ascii="Aptos" w:hAnsi="Aptos" w:eastAsia="Aptos" w:cs="Aptos"/>
        </w:rPr>
        <w:t>pertise</w:t>
      </w:r>
      <w:r w:rsidRPr="2B1FC677" w:rsidR="5A32B24C">
        <w:rPr>
          <w:rFonts w:ascii="Aptos" w:hAnsi="Aptos" w:eastAsia="Aptos" w:cs="Aptos"/>
        </w:rPr>
        <w:t xml:space="preserve"> f</w:t>
      </w:r>
      <w:r w:rsidRPr="2B1FC677" w:rsidR="5A32B24C">
        <w:rPr>
          <w:rFonts w:ascii="Aptos" w:hAnsi="Aptos" w:eastAsia="Aptos" w:cs="Aptos"/>
        </w:rPr>
        <w:t>rom the public, private</w:t>
      </w:r>
      <w:r w:rsidRPr="2B1FC677" w:rsidR="6BDF1CDD">
        <w:rPr>
          <w:rFonts w:ascii="Aptos" w:hAnsi="Aptos" w:eastAsia="Aptos" w:cs="Aptos"/>
        </w:rPr>
        <w:t>,</w:t>
      </w:r>
      <w:r w:rsidRPr="2B1FC677" w:rsidR="5A32B24C">
        <w:rPr>
          <w:rFonts w:ascii="Aptos" w:hAnsi="Aptos" w:eastAsia="Aptos" w:cs="Aptos"/>
        </w:rPr>
        <w:t xml:space="preserve"> and third sector in the borough. </w:t>
      </w:r>
      <w:r w:rsidRPr="2B1FC677" w:rsidR="379944FE">
        <w:rPr>
          <w:rFonts w:ascii="Aptos" w:hAnsi="Aptos" w:eastAsia="Aptos" w:cs="Aptos"/>
        </w:rPr>
        <w:t xml:space="preserve">Opportunities to join the Steering Group </w:t>
      </w:r>
      <w:r w:rsidRPr="2B1FC677" w:rsidR="4EDDBCFC">
        <w:rPr>
          <w:rFonts w:ascii="Aptos" w:hAnsi="Aptos" w:eastAsia="Aptos" w:cs="Aptos"/>
        </w:rPr>
        <w:t>will be advertised on a yearly basis</w:t>
      </w:r>
      <w:r w:rsidRPr="2B1FC677" w:rsidR="04E661DD">
        <w:rPr>
          <w:rFonts w:ascii="Aptos" w:hAnsi="Aptos" w:eastAsia="Aptos" w:cs="Aptos"/>
        </w:rPr>
        <w:t xml:space="preserve"> and aim to involve new voices from across these sectors, with a diverse range of backgrounds and experience. </w:t>
      </w:r>
    </w:p>
    <w:p w:rsidR="2BE72F23" w:rsidP="5884C9AC" w:rsidRDefault="2BE72F23" w14:paraId="6145A698" w14:textId="3D4313EC">
      <w:pPr>
        <w:pStyle w:val="ListParagraph"/>
        <w:numPr>
          <w:ilvl w:val="0"/>
          <w:numId w:val="2"/>
        </w:numPr>
        <w:spacing w:after="240" w:afterAutospacing="off"/>
        <w:rPr>
          <w:rFonts w:ascii="Aptos" w:hAnsi="Aptos" w:eastAsia="Aptos" w:cs="Aptos"/>
          <w:sz w:val="24"/>
          <w:szCs w:val="24"/>
        </w:rPr>
      </w:pPr>
      <w:r w:rsidRPr="5884C9AC" w:rsidR="2BE72F23">
        <w:rPr>
          <w:rFonts w:ascii="Aptos" w:hAnsi="Aptos" w:eastAsia="Aptos" w:cs="Aptos"/>
        </w:rPr>
        <w:t>Organisations represented on the Steering Group will not receive preferential treatment in grant or pro-bono support allocation</w:t>
      </w:r>
    </w:p>
    <w:p w:rsidR="2BE72F23" w:rsidP="5884C9AC" w:rsidRDefault="2BE72F23" w14:paraId="2BB1507A" w14:textId="08839152">
      <w:pPr>
        <w:pStyle w:val="ListParagraph"/>
        <w:numPr>
          <w:ilvl w:val="0"/>
          <w:numId w:val="2"/>
        </w:numPr>
        <w:spacing w:after="240" w:afterAutospacing="off"/>
        <w:rPr>
          <w:rFonts w:ascii="Aptos" w:hAnsi="Aptos" w:eastAsia="Aptos" w:cs="Aptos"/>
          <w:sz w:val="24"/>
          <w:szCs w:val="24"/>
        </w:rPr>
      </w:pPr>
      <w:r w:rsidRPr="5884C9AC" w:rsidR="2BE72F23">
        <w:rPr>
          <w:rFonts w:ascii="Aptos" w:hAnsi="Aptos" w:eastAsia="Aptos" w:cs="Aptos"/>
        </w:rPr>
        <w:t>Applications from organisations represented on the Steering Group will be subject to the same criteria and scrutiny as all other applications</w:t>
      </w:r>
    </w:p>
    <w:p w:rsidR="4DB0A261" w:rsidP="5884C9AC" w:rsidRDefault="4DB0A261" w14:paraId="0D3BEF7A" w14:textId="1C50AF59">
      <w:pPr>
        <w:pStyle w:val="ListParagraph"/>
        <w:numPr>
          <w:ilvl w:val="0"/>
          <w:numId w:val="2"/>
        </w:numPr>
        <w:spacing w:after="240" w:afterAutospacing="off"/>
        <w:rPr>
          <w:rFonts w:ascii="Aptos" w:hAnsi="Aptos" w:eastAsia="Aptos" w:cs="Aptos"/>
        </w:rPr>
      </w:pPr>
      <w:r w:rsidRPr="2B1FC677" w:rsidR="4DB0A261">
        <w:rPr>
          <w:rFonts w:ascii="Aptos" w:hAnsi="Aptos" w:eastAsia="Aptos" w:cs="Aptos"/>
        </w:rPr>
        <w:t>W</w:t>
      </w:r>
      <w:r w:rsidRPr="2B1FC677" w:rsidR="4A98D8BC">
        <w:rPr>
          <w:rFonts w:ascii="Aptos" w:hAnsi="Aptos" w:eastAsia="Aptos" w:cs="Aptos"/>
        </w:rPr>
        <w:t xml:space="preserve">here </w:t>
      </w:r>
      <w:r w:rsidRPr="2B1FC677" w:rsidR="0501F799">
        <w:rPr>
          <w:rFonts w:ascii="Aptos" w:hAnsi="Aptos" w:eastAsia="Aptos" w:cs="Aptos"/>
        </w:rPr>
        <w:t>Steering Group members do sit on grant panels,</w:t>
      </w:r>
      <w:r w:rsidRPr="2B1FC677" w:rsidR="4A98D8BC">
        <w:rPr>
          <w:rFonts w:ascii="Aptos" w:hAnsi="Aptos" w:eastAsia="Aptos" w:cs="Aptos"/>
        </w:rPr>
        <w:t xml:space="preserve"> they will be asked to recuse themselves from any discussion or decision-making related to their own organisations</w:t>
      </w:r>
      <w:r w:rsidRPr="2B1FC677" w:rsidR="401567B9">
        <w:rPr>
          <w:rFonts w:ascii="Aptos" w:hAnsi="Aptos" w:eastAsia="Aptos" w:cs="Aptos"/>
        </w:rPr>
        <w:t xml:space="preserve"> or organisations w</w:t>
      </w:r>
      <w:r w:rsidRPr="2B1FC677" w:rsidR="5BE0431C">
        <w:rPr>
          <w:rFonts w:ascii="Aptos" w:hAnsi="Aptos" w:eastAsia="Aptos" w:cs="Aptos"/>
        </w:rPr>
        <w:t xml:space="preserve">ith which </w:t>
      </w:r>
      <w:r w:rsidRPr="2B1FC677" w:rsidR="401567B9">
        <w:rPr>
          <w:rFonts w:ascii="Aptos" w:hAnsi="Aptos" w:eastAsia="Aptos" w:cs="Aptos"/>
        </w:rPr>
        <w:t>they have a close personal connection</w:t>
      </w:r>
      <w:r w:rsidRPr="2B1FC677" w:rsidR="560A3A3C">
        <w:rPr>
          <w:rFonts w:ascii="Aptos" w:hAnsi="Aptos" w:eastAsia="Aptos" w:cs="Aptos"/>
        </w:rPr>
        <w:t>, follow</w:t>
      </w:r>
      <w:r w:rsidRPr="2B1FC677" w:rsidR="40329781">
        <w:rPr>
          <w:rFonts w:ascii="Aptos" w:hAnsi="Aptos" w:eastAsia="Aptos" w:cs="Aptos"/>
        </w:rPr>
        <w:t xml:space="preserve">ing </w:t>
      </w:r>
      <w:r w:rsidRPr="2B1FC677" w:rsidR="560A3A3C">
        <w:rPr>
          <w:rFonts w:ascii="Aptos" w:hAnsi="Aptos" w:eastAsia="Aptos" w:cs="Aptos"/>
        </w:rPr>
        <w:t>the procedures detailed below</w:t>
      </w:r>
    </w:p>
    <w:p w:rsidR="00627E2B" w:rsidP="2BB90664" w:rsidRDefault="3A2ECBEC" w14:paraId="4DAFD37D" w14:textId="2E04FF6B">
      <w:pPr>
        <w:pStyle w:val="Heading3"/>
        <w:spacing w:before="281" w:after="281"/>
      </w:pPr>
      <w:r w:rsidRPr="5884C9AC" w:rsidR="4A98D8BC">
        <w:rPr>
          <w:rFonts w:ascii="Aptos" w:hAnsi="Aptos" w:eastAsia="Aptos" w:cs="Aptos"/>
          <w:b w:val="1"/>
          <w:bCs w:val="1"/>
        </w:rPr>
        <w:t>7</w:t>
      </w:r>
      <w:r w:rsidRPr="5884C9AC" w:rsidR="3A2ECBEC">
        <w:rPr>
          <w:rFonts w:ascii="Aptos" w:hAnsi="Aptos" w:eastAsia="Aptos" w:cs="Aptos"/>
          <w:b w:val="1"/>
          <w:bCs w:val="1"/>
        </w:rPr>
        <w:t>. Procedures for Managing Conflicts of Interest</w:t>
      </w:r>
    </w:p>
    <w:p w:rsidR="00627E2B" w:rsidP="2BB90664" w:rsidRDefault="3A2ECBEC" w14:paraId="09A2F56C" w14:textId="44746A9A">
      <w:pPr>
        <w:pStyle w:val="Heading4"/>
        <w:spacing w:before="319" w:after="319"/>
      </w:pPr>
      <w:r w:rsidRPr="5884C9AC" w:rsidR="1B874B70">
        <w:rPr>
          <w:rFonts w:ascii="Aptos" w:hAnsi="Aptos" w:eastAsia="Aptos" w:cs="Aptos"/>
          <w:b w:val="1"/>
          <w:bCs w:val="1"/>
        </w:rPr>
        <w:t>7</w:t>
      </w:r>
      <w:r w:rsidRPr="5884C9AC" w:rsidR="3A2ECBEC">
        <w:rPr>
          <w:rFonts w:ascii="Aptos" w:hAnsi="Aptos" w:eastAsia="Aptos" w:cs="Aptos"/>
          <w:b w:val="1"/>
          <w:bCs w:val="1"/>
        </w:rPr>
        <w:t>.1 Declaration of Interests</w:t>
      </w:r>
    </w:p>
    <w:p w:rsidR="00627E2B" w:rsidP="2BB90664" w:rsidRDefault="3A2ECBEC" w14:paraId="3CCE4180" w14:textId="4D1330C4">
      <w:pPr>
        <w:pStyle w:val="ListParagraph"/>
        <w:numPr>
          <w:ilvl w:val="0"/>
          <w:numId w:val="5"/>
        </w:numPr>
        <w:spacing w:after="0"/>
        <w:rPr>
          <w:rFonts w:ascii="Aptos" w:hAnsi="Aptos" w:eastAsia="Aptos" w:cs="Aptos"/>
        </w:rPr>
      </w:pPr>
      <w:r w:rsidRPr="2B1FC677" w:rsidR="4DD13753">
        <w:rPr>
          <w:rFonts w:ascii="Aptos" w:hAnsi="Aptos" w:eastAsia="Aptos" w:cs="Aptos"/>
        </w:rPr>
        <w:t>When any s</w:t>
      </w:r>
      <w:r w:rsidRPr="2B1FC677" w:rsidR="6429E48A">
        <w:rPr>
          <w:rFonts w:ascii="Aptos" w:hAnsi="Aptos" w:eastAsia="Aptos" w:cs="Aptos"/>
        </w:rPr>
        <w:t>taff</w:t>
      </w:r>
      <w:r w:rsidRPr="2B1FC677" w:rsidR="744F99D9">
        <w:rPr>
          <w:rFonts w:ascii="Aptos" w:hAnsi="Aptos" w:eastAsia="Aptos" w:cs="Aptos"/>
        </w:rPr>
        <w:t xml:space="preserve"> member</w:t>
      </w:r>
      <w:r w:rsidRPr="2B1FC677" w:rsidR="6429E48A">
        <w:rPr>
          <w:rFonts w:ascii="Aptos" w:hAnsi="Aptos" w:eastAsia="Aptos" w:cs="Aptos"/>
        </w:rPr>
        <w:t>,</w:t>
      </w:r>
      <w:r w:rsidRPr="2B1FC677" w:rsidR="3A2ECBEC">
        <w:rPr>
          <w:rFonts w:ascii="Aptos" w:hAnsi="Aptos" w:eastAsia="Aptos" w:cs="Aptos"/>
        </w:rPr>
        <w:t xml:space="preserve"> </w:t>
      </w:r>
      <w:r w:rsidRPr="2B1FC677" w:rsidR="6429E48A">
        <w:rPr>
          <w:rFonts w:ascii="Aptos" w:hAnsi="Aptos" w:eastAsia="Aptos" w:cs="Aptos"/>
        </w:rPr>
        <w:t xml:space="preserve">volunteer, steering group </w:t>
      </w:r>
      <w:r w:rsidRPr="2B1FC677" w:rsidR="3A2ECBEC">
        <w:rPr>
          <w:rFonts w:ascii="Aptos" w:hAnsi="Aptos" w:eastAsia="Aptos" w:cs="Aptos"/>
        </w:rPr>
        <w:t>member</w:t>
      </w:r>
      <w:r w:rsidRPr="2B1FC677" w:rsidR="1B153088">
        <w:rPr>
          <w:rFonts w:ascii="Aptos" w:hAnsi="Aptos" w:eastAsia="Aptos" w:cs="Aptos"/>
        </w:rPr>
        <w:t xml:space="preserve">, </w:t>
      </w:r>
      <w:r w:rsidRPr="2B1FC677" w:rsidR="78A89192">
        <w:rPr>
          <w:rFonts w:ascii="Aptos" w:hAnsi="Aptos" w:eastAsia="Aptos" w:cs="Aptos"/>
        </w:rPr>
        <w:t>or</w:t>
      </w:r>
      <w:r w:rsidRPr="2B1FC677" w:rsidR="1B153088">
        <w:rPr>
          <w:rFonts w:ascii="Aptos" w:hAnsi="Aptos" w:eastAsia="Aptos" w:cs="Aptos"/>
        </w:rPr>
        <w:t xml:space="preserve"> panel member</w:t>
      </w:r>
      <w:r w:rsidRPr="2B1FC677" w:rsidR="3A2ECBEC">
        <w:rPr>
          <w:rFonts w:ascii="Aptos" w:hAnsi="Aptos" w:eastAsia="Aptos" w:cs="Aptos"/>
        </w:rPr>
        <w:t xml:space="preserve"> </w:t>
      </w:r>
      <w:r w:rsidRPr="2B1FC677" w:rsidR="504C68ED">
        <w:rPr>
          <w:rFonts w:ascii="Aptos" w:hAnsi="Aptos" w:eastAsia="Aptos" w:cs="Aptos"/>
        </w:rPr>
        <w:t xml:space="preserve">becomes involved in the decision-making process around grants or pro-bono support allocation (for example sitting on a grants panel or taking part in initial screening processes) they must fill in the Declaration of Interests </w:t>
      </w:r>
      <w:r w:rsidRPr="2B1FC677" w:rsidR="2695D97E">
        <w:rPr>
          <w:rFonts w:ascii="Aptos" w:hAnsi="Aptos" w:eastAsia="Aptos" w:cs="Aptos"/>
        </w:rPr>
        <w:t>R</w:t>
      </w:r>
      <w:r w:rsidRPr="2B1FC677" w:rsidR="504C68ED">
        <w:rPr>
          <w:rFonts w:ascii="Aptos" w:hAnsi="Aptos" w:eastAsia="Aptos" w:cs="Aptos"/>
        </w:rPr>
        <w:t xml:space="preserve">egister </w:t>
      </w:r>
      <w:r w:rsidRPr="2B1FC677" w:rsidR="75B4044A">
        <w:rPr>
          <w:rFonts w:ascii="Aptos" w:hAnsi="Aptos" w:eastAsia="Aptos" w:cs="Aptos"/>
        </w:rPr>
        <w:t>(</w:t>
      </w:r>
      <w:r w:rsidRPr="2B1FC677" w:rsidR="504C68ED">
        <w:rPr>
          <w:rFonts w:ascii="Aptos" w:hAnsi="Aptos" w:eastAsia="Aptos" w:cs="Aptos"/>
        </w:rPr>
        <w:t xml:space="preserve">that sits at the end of this </w:t>
      </w:r>
      <w:r w:rsidRPr="2B1FC677" w:rsidR="421205A6">
        <w:rPr>
          <w:rFonts w:ascii="Aptos" w:hAnsi="Aptos" w:eastAsia="Aptos" w:cs="Aptos"/>
        </w:rPr>
        <w:t>policy</w:t>
      </w:r>
      <w:r w:rsidRPr="2B1FC677" w:rsidR="32ACEE6B">
        <w:rPr>
          <w:rFonts w:ascii="Aptos" w:hAnsi="Aptos" w:eastAsia="Aptos" w:cs="Aptos"/>
        </w:rPr>
        <w:t>)</w:t>
      </w:r>
    </w:p>
    <w:p w:rsidR="00627E2B" w:rsidP="2BB90664" w:rsidRDefault="3A2ECBEC" w14:paraId="2F39DC54" w14:textId="480BCC05">
      <w:pPr>
        <w:pStyle w:val="ListParagraph"/>
        <w:numPr>
          <w:ilvl w:val="0"/>
          <w:numId w:val="5"/>
        </w:numPr>
        <w:spacing w:after="0"/>
        <w:rPr>
          <w:rFonts w:ascii="Aptos" w:hAnsi="Aptos" w:eastAsia="Aptos" w:cs="Aptos"/>
        </w:rPr>
      </w:pPr>
      <w:r w:rsidRPr="2B1FC677" w:rsidR="3A2ECBEC">
        <w:rPr>
          <w:rFonts w:ascii="Aptos" w:hAnsi="Aptos" w:eastAsia="Aptos" w:cs="Aptos"/>
        </w:rPr>
        <w:t xml:space="preserve">The form will record any affiliations with </w:t>
      </w:r>
      <w:r w:rsidRPr="2B1FC677" w:rsidR="2FC7C059">
        <w:rPr>
          <w:rFonts w:ascii="Aptos" w:hAnsi="Aptos" w:eastAsia="Aptos" w:cs="Aptos"/>
        </w:rPr>
        <w:t>community, charity</w:t>
      </w:r>
      <w:r w:rsidRPr="2B1FC677" w:rsidR="5D28E228">
        <w:rPr>
          <w:rFonts w:ascii="Aptos" w:hAnsi="Aptos" w:eastAsia="Aptos" w:cs="Aptos"/>
        </w:rPr>
        <w:t>,</w:t>
      </w:r>
      <w:r w:rsidRPr="2B1FC677" w:rsidR="2FC7C059">
        <w:rPr>
          <w:rFonts w:ascii="Aptos" w:hAnsi="Aptos" w:eastAsia="Aptos" w:cs="Aptos"/>
        </w:rPr>
        <w:t xml:space="preserve"> or voluntary sector </w:t>
      </w:r>
      <w:r w:rsidRPr="2B1FC677" w:rsidR="3A2ECBEC">
        <w:rPr>
          <w:rFonts w:ascii="Aptos" w:hAnsi="Aptos" w:eastAsia="Aptos" w:cs="Aptos"/>
        </w:rPr>
        <w:t>organisations that may apply for funding or support</w:t>
      </w:r>
    </w:p>
    <w:p w:rsidR="00627E2B" w:rsidP="2BB90664" w:rsidRDefault="3A2ECBEC" w14:paraId="325F5A35" w14:textId="72770ED2">
      <w:pPr>
        <w:pStyle w:val="ListParagraph"/>
        <w:numPr>
          <w:ilvl w:val="0"/>
          <w:numId w:val="5"/>
        </w:numPr>
        <w:spacing w:after="0"/>
        <w:rPr>
          <w:rFonts w:ascii="Aptos" w:hAnsi="Aptos" w:eastAsia="Aptos" w:cs="Aptos"/>
        </w:rPr>
      </w:pPr>
      <w:r w:rsidRPr="2B1FC677" w:rsidR="3A2ECBEC">
        <w:rPr>
          <w:rFonts w:ascii="Aptos" w:hAnsi="Aptos" w:eastAsia="Aptos" w:cs="Aptos"/>
        </w:rPr>
        <w:t xml:space="preserve">A register of these declarations will be </w:t>
      </w:r>
      <w:r w:rsidRPr="2B1FC677" w:rsidR="3A2ECBEC">
        <w:rPr>
          <w:rFonts w:ascii="Aptos" w:hAnsi="Aptos" w:eastAsia="Aptos" w:cs="Aptos"/>
        </w:rPr>
        <w:t>maintained</w:t>
      </w:r>
      <w:r w:rsidRPr="2B1FC677" w:rsidR="3A2ECBEC">
        <w:rPr>
          <w:rFonts w:ascii="Aptos" w:hAnsi="Aptos" w:eastAsia="Aptos" w:cs="Aptos"/>
        </w:rPr>
        <w:t xml:space="preserve"> and available for </w:t>
      </w:r>
      <w:r w:rsidRPr="2B1FC677" w:rsidR="3A2ECBEC">
        <w:rPr>
          <w:rFonts w:ascii="Aptos" w:hAnsi="Aptos" w:eastAsia="Aptos" w:cs="Aptos"/>
        </w:rPr>
        <w:t>inspection</w:t>
      </w:r>
      <w:r w:rsidRPr="2B1FC677" w:rsidR="598A1240">
        <w:rPr>
          <w:rFonts w:ascii="Aptos" w:hAnsi="Aptos" w:eastAsia="Aptos" w:cs="Aptos"/>
        </w:rPr>
        <w:t xml:space="preserve"> – Greenwich Giving will publish this document on our website </w:t>
      </w:r>
    </w:p>
    <w:p w:rsidR="00627E2B" w:rsidP="2BB90664" w:rsidRDefault="3A2ECBEC" w14:paraId="74F89762" w14:textId="5A14C5FA">
      <w:pPr>
        <w:pStyle w:val="ListParagraph"/>
        <w:numPr>
          <w:ilvl w:val="0"/>
          <w:numId w:val="5"/>
        </w:numPr>
        <w:spacing w:after="0"/>
        <w:rPr>
          <w:rFonts w:ascii="Aptos" w:hAnsi="Aptos" w:eastAsia="Aptos" w:cs="Aptos"/>
        </w:rPr>
      </w:pPr>
      <w:r w:rsidRPr="0361B61D" w:rsidR="3A2ECBEC">
        <w:rPr>
          <w:rFonts w:ascii="Aptos" w:hAnsi="Aptos" w:eastAsia="Aptos" w:cs="Aptos"/>
        </w:rPr>
        <w:t>Any changes to interests must be declared as soon as they arise</w:t>
      </w:r>
      <w:r w:rsidRPr="0361B61D" w:rsidR="6C7CAFE1">
        <w:rPr>
          <w:rFonts w:ascii="Aptos" w:hAnsi="Aptos" w:eastAsia="Aptos" w:cs="Aptos"/>
        </w:rPr>
        <w:t xml:space="preserve">, and will be added to the register </w:t>
      </w:r>
    </w:p>
    <w:p w:rsidR="00627E2B" w:rsidP="2BB90664" w:rsidRDefault="3A2ECBEC" w14:paraId="24432A12" w14:textId="34E2CA4E">
      <w:pPr>
        <w:pStyle w:val="Heading4"/>
        <w:spacing w:before="319" w:after="319"/>
      </w:pPr>
      <w:r w:rsidRPr="5884C9AC" w:rsidR="77B886D7">
        <w:rPr>
          <w:rFonts w:ascii="Aptos" w:hAnsi="Aptos" w:eastAsia="Aptos" w:cs="Aptos"/>
          <w:b w:val="1"/>
          <w:bCs w:val="1"/>
        </w:rPr>
        <w:t>7</w:t>
      </w:r>
      <w:r w:rsidRPr="5884C9AC" w:rsidR="3A2ECBEC">
        <w:rPr>
          <w:rFonts w:ascii="Aptos" w:hAnsi="Aptos" w:eastAsia="Aptos" w:cs="Aptos"/>
          <w:b w:val="1"/>
          <w:bCs w:val="1"/>
        </w:rPr>
        <w:t>.2 Grant Application and Review Process</w:t>
      </w:r>
    </w:p>
    <w:p w:rsidR="00627E2B" w:rsidP="2BB90664" w:rsidRDefault="3A2ECBEC" w14:paraId="4C59E358" w14:textId="645D5AF5">
      <w:pPr>
        <w:pStyle w:val="ListParagraph"/>
        <w:numPr>
          <w:ilvl w:val="0"/>
          <w:numId w:val="4"/>
        </w:numPr>
        <w:spacing w:after="0"/>
        <w:rPr>
          <w:rFonts w:ascii="Aptos" w:hAnsi="Aptos" w:eastAsia="Aptos" w:cs="Aptos"/>
        </w:rPr>
      </w:pPr>
      <w:r w:rsidRPr="2BB90664">
        <w:rPr>
          <w:rFonts w:ascii="Aptos" w:hAnsi="Aptos" w:eastAsia="Aptos" w:cs="Aptos"/>
        </w:rPr>
        <w:t>When grant applications are received, they will be initially screened by staff who have no conflicts of interest with the applicants</w:t>
      </w:r>
    </w:p>
    <w:p w:rsidR="00627E2B" w:rsidP="2BB90664" w:rsidRDefault="3A2ECBEC" w14:paraId="74747973" w14:textId="19F595F6">
      <w:pPr>
        <w:pStyle w:val="ListParagraph"/>
        <w:numPr>
          <w:ilvl w:val="0"/>
          <w:numId w:val="4"/>
        </w:numPr>
        <w:spacing w:after="0"/>
        <w:rPr>
          <w:rFonts w:ascii="Aptos" w:hAnsi="Aptos" w:eastAsia="Aptos" w:cs="Aptos"/>
        </w:rPr>
      </w:pPr>
      <w:r w:rsidRPr="0361B61D" w:rsidR="21C120B3">
        <w:rPr>
          <w:rFonts w:ascii="Aptos" w:hAnsi="Aptos" w:eastAsia="Aptos" w:cs="Aptos"/>
        </w:rPr>
        <w:t>Those involved in the process (staff and panel members)</w:t>
      </w:r>
      <w:r w:rsidRPr="0361B61D" w:rsidR="3A2ECBEC">
        <w:rPr>
          <w:rFonts w:ascii="Aptos" w:hAnsi="Aptos" w:eastAsia="Aptos" w:cs="Aptos"/>
        </w:rPr>
        <w:t xml:space="preserve"> must proactively </w:t>
      </w:r>
      <w:r w:rsidRPr="0361B61D" w:rsidR="3A2ECBEC">
        <w:rPr>
          <w:rFonts w:ascii="Aptos" w:hAnsi="Aptos" w:eastAsia="Aptos" w:cs="Aptos"/>
        </w:rPr>
        <w:t>identify</w:t>
      </w:r>
      <w:r w:rsidRPr="0361B61D" w:rsidR="3A2ECBEC">
        <w:rPr>
          <w:rFonts w:ascii="Aptos" w:hAnsi="Aptos" w:eastAsia="Aptos" w:cs="Aptos"/>
        </w:rPr>
        <w:t xml:space="preserve"> and declare any conflicts of interest related to applicant organisations</w:t>
      </w:r>
    </w:p>
    <w:p w:rsidR="00627E2B" w:rsidP="2BB90664" w:rsidRDefault="3A2ECBEC" w14:paraId="78F3D415" w14:textId="0C45F7B9">
      <w:pPr>
        <w:pStyle w:val="ListParagraph"/>
        <w:numPr>
          <w:ilvl w:val="0"/>
          <w:numId w:val="4"/>
        </w:numPr>
        <w:spacing w:after="0"/>
        <w:rPr>
          <w:rFonts w:ascii="Aptos" w:hAnsi="Aptos" w:eastAsia="Aptos" w:cs="Aptos"/>
        </w:rPr>
      </w:pPr>
      <w:r w:rsidRPr="2BB90664">
        <w:rPr>
          <w:rFonts w:ascii="Aptos" w:hAnsi="Aptos" w:eastAsia="Aptos" w:cs="Aptos"/>
        </w:rPr>
        <w:t xml:space="preserve">Any person with a conflict of interest regarding a specific application must: </w:t>
      </w:r>
    </w:p>
    <w:p w:rsidR="00627E2B" w:rsidP="2BB90664" w:rsidRDefault="3A2ECBEC" w14:paraId="6E7489C9" w14:textId="67D2D42D">
      <w:pPr>
        <w:pStyle w:val="ListParagraph"/>
        <w:numPr>
          <w:ilvl w:val="1"/>
          <w:numId w:val="4"/>
        </w:numPr>
        <w:spacing w:after="0"/>
        <w:rPr>
          <w:rFonts w:ascii="Aptos" w:hAnsi="Aptos" w:eastAsia="Aptos" w:cs="Aptos"/>
        </w:rPr>
      </w:pPr>
      <w:r w:rsidRPr="2BB90664">
        <w:rPr>
          <w:rFonts w:ascii="Aptos" w:hAnsi="Aptos" w:eastAsia="Aptos" w:cs="Aptos"/>
        </w:rPr>
        <w:t>Declare the conflict before the application is discussed</w:t>
      </w:r>
    </w:p>
    <w:p w:rsidR="00627E2B" w:rsidP="2BB90664" w:rsidRDefault="3A2ECBEC" w14:paraId="3709C347" w14:textId="345998A7">
      <w:pPr>
        <w:pStyle w:val="ListParagraph"/>
        <w:numPr>
          <w:ilvl w:val="1"/>
          <w:numId w:val="4"/>
        </w:numPr>
        <w:spacing w:after="0"/>
        <w:rPr>
          <w:rFonts w:ascii="Aptos" w:hAnsi="Aptos" w:eastAsia="Aptos" w:cs="Aptos"/>
        </w:rPr>
      </w:pPr>
      <w:r w:rsidRPr="2BB90664">
        <w:rPr>
          <w:rFonts w:ascii="Aptos" w:hAnsi="Aptos" w:eastAsia="Aptos" w:cs="Aptos"/>
        </w:rPr>
        <w:t>Recuse themselves from discussions and decisions about that application</w:t>
      </w:r>
    </w:p>
    <w:p w:rsidR="00627E2B" w:rsidP="2BB90664" w:rsidRDefault="3A2ECBEC" w14:paraId="66C11351" w14:textId="383022B2">
      <w:pPr>
        <w:pStyle w:val="ListParagraph"/>
        <w:numPr>
          <w:ilvl w:val="1"/>
          <w:numId w:val="4"/>
        </w:numPr>
        <w:spacing w:after="0"/>
        <w:rPr>
          <w:rFonts w:ascii="Aptos" w:hAnsi="Aptos" w:eastAsia="Aptos" w:cs="Aptos"/>
        </w:rPr>
      </w:pPr>
      <w:r w:rsidRPr="2BB90664">
        <w:rPr>
          <w:rFonts w:ascii="Aptos" w:hAnsi="Aptos" w:eastAsia="Aptos" w:cs="Aptos"/>
        </w:rPr>
        <w:t>Not attempt to influence the decision in any way</w:t>
      </w:r>
    </w:p>
    <w:p w:rsidR="00627E2B" w:rsidP="2BB90664" w:rsidRDefault="3A2ECBEC" w14:paraId="66D433FC" w14:textId="1DD159EF">
      <w:pPr>
        <w:pStyle w:val="ListParagraph"/>
        <w:numPr>
          <w:ilvl w:val="1"/>
          <w:numId w:val="4"/>
        </w:numPr>
        <w:spacing w:after="0"/>
        <w:rPr>
          <w:rFonts w:ascii="Aptos" w:hAnsi="Aptos" w:eastAsia="Aptos" w:cs="Aptos"/>
        </w:rPr>
      </w:pPr>
      <w:r w:rsidRPr="2BB90664">
        <w:rPr>
          <w:rFonts w:ascii="Aptos" w:hAnsi="Aptos" w:eastAsia="Aptos" w:cs="Aptos"/>
        </w:rPr>
        <w:t>Have their recusal recorded in the minutes or documentation of the decision</w:t>
      </w:r>
    </w:p>
    <w:p w:rsidR="00627E2B" w:rsidP="2BB90664" w:rsidRDefault="3A2ECBEC" w14:paraId="592769FE" w14:textId="2E06C4B1">
      <w:pPr>
        <w:pStyle w:val="Heading4"/>
        <w:spacing w:before="319" w:after="319"/>
      </w:pPr>
      <w:r w:rsidRPr="5884C9AC" w:rsidR="48F7C199">
        <w:rPr>
          <w:rFonts w:ascii="Aptos" w:hAnsi="Aptos" w:eastAsia="Aptos" w:cs="Aptos"/>
          <w:b w:val="1"/>
          <w:bCs w:val="1"/>
        </w:rPr>
        <w:t>7</w:t>
      </w:r>
      <w:r w:rsidRPr="5884C9AC" w:rsidR="3A2ECBEC">
        <w:rPr>
          <w:rFonts w:ascii="Aptos" w:hAnsi="Aptos" w:eastAsia="Aptos" w:cs="Aptos"/>
          <w:b w:val="1"/>
          <w:bCs w:val="1"/>
        </w:rPr>
        <w:t>.3 Pro-bono Support Allocation</w:t>
      </w:r>
    </w:p>
    <w:p w:rsidR="74712EF8" w:rsidP="0361B61D" w:rsidRDefault="74712EF8" w14:paraId="3F192FFF" w14:textId="08644766">
      <w:pPr>
        <w:pStyle w:val="Normal"/>
      </w:pPr>
      <w:r w:rsidR="1C6C58AB">
        <w:rPr/>
        <w:t>Recognising that it is not practical or realistic to present every offer of pro-bono support to every charity or group in our network</w:t>
      </w:r>
      <w:r w:rsidR="7D014E52">
        <w:rPr/>
        <w:t xml:space="preserve"> (or vice-versa, to present every </w:t>
      </w:r>
      <w:r w:rsidR="45C8AD0C">
        <w:rPr/>
        <w:t xml:space="preserve">charity </w:t>
      </w:r>
      <w:r w:rsidR="7D014E52">
        <w:rPr/>
        <w:t xml:space="preserve">request to our full roster of business contacts), Greenwich Giving still </w:t>
      </w:r>
      <w:r w:rsidR="7D014E52">
        <w:rPr/>
        <w:t>endeavours</w:t>
      </w:r>
      <w:r w:rsidR="7D014E52">
        <w:rPr/>
        <w:t xml:space="preserve"> </w:t>
      </w:r>
      <w:r w:rsidR="7024142D">
        <w:rPr/>
        <w:t xml:space="preserve">to </w:t>
      </w:r>
      <w:r w:rsidR="5A65B98F">
        <w:rPr/>
        <w:t xml:space="preserve">maintain a fair and transparent process when it comes to matching corporate offers to charity and community needs. </w:t>
      </w:r>
    </w:p>
    <w:p w:rsidR="00627E2B" w:rsidP="0361B61D" w:rsidRDefault="3A2ECBEC" w14:paraId="6E7BFBDF" w14:textId="6933CF22">
      <w:pPr>
        <w:pStyle w:val="ListParagraph"/>
        <w:numPr>
          <w:ilvl w:val="0"/>
          <w:numId w:val="3"/>
        </w:numPr>
        <w:spacing w:after="240" w:afterAutospacing="off"/>
        <w:rPr>
          <w:rFonts w:ascii="Aptos" w:hAnsi="Aptos" w:eastAsia="Aptos" w:cs="Aptos"/>
        </w:rPr>
      </w:pPr>
      <w:r w:rsidRPr="2B1FC677" w:rsidR="6D10AA49">
        <w:rPr>
          <w:rFonts w:ascii="Aptos" w:hAnsi="Aptos" w:eastAsia="Aptos" w:cs="Aptos"/>
        </w:rPr>
        <w:t>Wherever possible, all</w:t>
      </w:r>
      <w:r w:rsidRPr="2B1FC677" w:rsidR="3A2ECBEC">
        <w:rPr>
          <w:rFonts w:ascii="Aptos" w:hAnsi="Aptos" w:eastAsia="Aptos" w:cs="Aptos"/>
        </w:rPr>
        <w:t xml:space="preserve"> eligible organisations that have registered interest will be informed of pro-bono support opportunities</w:t>
      </w:r>
      <w:r w:rsidRPr="2B1FC677" w:rsidR="686CF277">
        <w:rPr>
          <w:rFonts w:ascii="Aptos" w:hAnsi="Aptos" w:eastAsia="Aptos" w:cs="Aptos"/>
        </w:rPr>
        <w:t xml:space="preserve"> that match their requests</w:t>
      </w:r>
    </w:p>
    <w:p w:rsidR="30CA81A8" w:rsidP="0361B61D" w:rsidRDefault="30CA81A8" w14:paraId="59B2C56C" w14:textId="07A68423">
      <w:pPr>
        <w:pStyle w:val="ListParagraph"/>
        <w:numPr>
          <w:ilvl w:val="0"/>
          <w:numId w:val="3"/>
        </w:numPr>
        <w:spacing w:after="240" w:afterAutospacing="off"/>
        <w:rPr>
          <w:rFonts w:ascii="Aptos" w:hAnsi="Aptos" w:eastAsia="Aptos" w:cs="Aptos"/>
          <w:sz w:val="24"/>
          <w:szCs w:val="24"/>
        </w:rPr>
      </w:pPr>
      <w:r w:rsidRPr="5884C9AC" w:rsidR="30CA81A8">
        <w:rPr>
          <w:rFonts w:ascii="Aptos" w:hAnsi="Aptos" w:eastAsia="Aptos" w:cs="Aptos"/>
        </w:rPr>
        <w:t xml:space="preserve">Where opportunities may be relevant and attractive to many organisations, they will be advertised on open platforms including Greenwich Giving social media accounts and the Greenwich Giving </w:t>
      </w:r>
      <w:r w:rsidRPr="5884C9AC" w:rsidR="554F10BA">
        <w:rPr>
          <w:rFonts w:ascii="Aptos" w:hAnsi="Aptos" w:eastAsia="Aptos" w:cs="Aptos"/>
        </w:rPr>
        <w:t xml:space="preserve">email </w:t>
      </w:r>
      <w:r w:rsidRPr="5884C9AC" w:rsidR="30CA81A8">
        <w:rPr>
          <w:rFonts w:ascii="Aptos" w:hAnsi="Aptos" w:eastAsia="Aptos" w:cs="Aptos"/>
        </w:rPr>
        <w:t xml:space="preserve">bulletin </w:t>
      </w:r>
    </w:p>
    <w:p w:rsidR="7729A8C4" w:rsidP="0361B61D" w:rsidRDefault="7729A8C4" w14:paraId="68711BD1" w14:textId="277B3C67">
      <w:pPr>
        <w:pStyle w:val="ListParagraph"/>
        <w:numPr>
          <w:ilvl w:val="0"/>
          <w:numId w:val="3"/>
        </w:numPr>
        <w:spacing w:after="240" w:afterAutospacing="off"/>
        <w:rPr>
          <w:rFonts w:ascii="Aptos" w:hAnsi="Aptos" w:eastAsia="Aptos" w:cs="Aptos"/>
        </w:rPr>
      </w:pPr>
      <w:r w:rsidRPr="5884C9AC" w:rsidR="7729A8C4">
        <w:rPr>
          <w:rFonts w:ascii="Aptos" w:hAnsi="Aptos" w:eastAsia="Aptos" w:cs="Aptos"/>
        </w:rPr>
        <w:t xml:space="preserve">All </w:t>
      </w:r>
      <w:r w:rsidRPr="5884C9AC" w:rsidR="5C4D4F0C">
        <w:rPr>
          <w:rFonts w:ascii="Aptos" w:hAnsi="Aptos" w:eastAsia="Aptos" w:cs="Aptos"/>
        </w:rPr>
        <w:t xml:space="preserve">incoming </w:t>
      </w:r>
      <w:r w:rsidRPr="5884C9AC" w:rsidR="7729A8C4">
        <w:rPr>
          <w:rFonts w:ascii="Aptos" w:hAnsi="Aptos" w:eastAsia="Aptos" w:cs="Aptos"/>
        </w:rPr>
        <w:t>expressions of interest will be passed along t</w:t>
      </w:r>
      <w:r w:rsidRPr="5884C9AC" w:rsidR="22F33C35">
        <w:rPr>
          <w:rFonts w:ascii="Aptos" w:hAnsi="Aptos" w:eastAsia="Aptos" w:cs="Aptos"/>
        </w:rPr>
        <w:t xml:space="preserve">o the businesses or organisation </w:t>
      </w:r>
      <w:r w:rsidRPr="5884C9AC" w:rsidR="7729A8C4">
        <w:rPr>
          <w:rFonts w:ascii="Aptos" w:hAnsi="Aptos" w:eastAsia="Aptos" w:cs="Aptos"/>
        </w:rPr>
        <w:t xml:space="preserve">who is </w:t>
      </w:r>
      <w:r w:rsidRPr="5884C9AC" w:rsidR="7729A8C4">
        <w:rPr>
          <w:rFonts w:ascii="Aptos" w:hAnsi="Aptos" w:eastAsia="Aptos" w:cs="Aptos"/>
        </w:rPr>
        <w:t xml:space="preserve">offering </w:t>
      </w:r>
      <w:r w:rsidRPr="5884C9AC" w:rsidR="05A92932">
        <w:rPr>
          <w:rFonts w:ascii="Aptos" w:hAnsi="Aptos" w:eastAsia="Aptos" w:cs="Aptos"/>
        </w:rPr>
        <w:t>support</w:t>
      </w:r>
      <w:r w:rsidRPr="5884C9AC" w:rsidR="7729A8C4">
        <w:rPr>
          <w:rFonts w:ascii="Aptos" w:hAnsi="Aptos" w:eastAsia="Aptos" w:cs="Aptos"/>
        </w:rPr>
        <w:t xml:space="preserve">. Where many </w:t>
      </w:r>
      <w:r w:rsidRPr="5884C9AC" w:rsidR="7C189CEB">
        <w:rPr>
          <w:rFonts w:ascii="Aptos" w:hAnsi="Aptos" w:eastAsia="Aptos" w:cs="Aptos"/>
        </w:rPr>
        <w:t>expressions of interest</w:t>
      </w:r>
      <w:r w:rsidRPr="5884C9AC" w:rsidR="7729A8C4">
        <w:rPr>
          <w:rFonts w:ascii="Aptos" w:hAnsi="Aptos" w:eastAsia="Aptos" w:cs="Aptos"/>
        </w:rPr>
        <w:t xml:space="preserve"> have come in, Greenwich Giving will pass the</w:t>
      </w:r>
      <w:r w:rsidRPr="5884C9AC" w:rsidR="7F92E540">
        <w:rPr>
          <w:rFonts w:ascii="Aptos" w:hAnsi="Aptos" w:eastAsia="Aptos" w:cs="Aptos"/>
        </w:rPr>
        <w:t>se on in the order that they were received, recognising that some businesses may cho</w:t>
      </w:r>
      <w:r w:rsidRPr="5884C9AC" w:rsidR="7F92E540">
        <w:rPr>
          <w:rFonts w:ascii="Aptos" w:hAnsi="Aptos" w:eastAsia="Aptos" w:cs="Aptos"/>
        </w:rPr>
        <w:t xml:space="preserve">ose to </w:t>
      </w:r>
      <w:r w:rsidRPr="5884C9AC" w:rsidR="4E9C0E6A">
        <w:rPr>
          <w:rFonts w:ascii="Aptos" w:hAnsi="Aptos" w:eastAsia="Aptos" w:cs="Aptos"/>
        </w:rPr>
        <w:t>a</w:t>
      </w:r>
      <w:r w:rsidRPr="5884C9AC" w:rsidR="4E9C0E6A">
        <w:rPr>
          <w:rFonts w:ascii="Aptos" w:hAnsi="Aptos" w:eastAsia="Aptos" w:cs="Aptos"/>
        </w:rPr>
        <w:t>llocate</w:t>
      </w:r>
      <w:r w:rsidRPr="5884C9AC" w:rsidR="4E9C0E6A">
        <w:rPr>
          <w:rFonts w:ascii="Aptos" w:hAnsi="Aptos" w:eastAsia="Aptos" w:cs="Aptos"/>
        </w:rPr>
        <w:t xml:space="preserve"> resources or support on a first-come-</w:t>
      </w:r>
      <w:r w:rsidRPr="5884C9AC" w:rsidR="4E9C0E6A">
        <w:rPr>
          <w:rFonts w:ascii="Aptos" w:hAnsi="Aptos" w:eastAsia="Aptos" w:cs="Aptos"/>
        </w:rPr>
        <w:t>first-serve</w:t>
      </w:r>
      <w:r w:rsidRPr="5884C9AC" w:rsidR="4E9C0E6A">
        <w:rPr>
          <w:rFonts w:ascii="Aptos" w:hAnsi="Aptos" w:eastAsia="Aptos" w:cs="Aptos"/>
        </w:rPr>
        <w:t xml:space="preserve"> basis</w:t>
      </w:r>
    </w:p>
    <w:p w:rsidR="0361B61D" w:rsidP="5884C9AC" w:rsidRDefault="0361B61D" w14:paraId="26DF72E1" w14:textId="7B90614F">
      <w:pPr>
        <w:pStyle w:val="ListParagraph"/>
        <w:numPr>
          <w:ilvl w:val="0"/>
          <w:numId w:val="3"/>
        </w:numPr>
        <w:spacing w:after="240" w:afterAutospacing="off"/>
        <w:rPr>
          <w:rFonts w:ascii="Aptos" w:hAnsi="Aptos" w:eastAsia="Aptos" w:cs="Aptos"/>
        </w:rPr>
      </w:pPr>
      <w:r w:rsidRPr="5884C9AC" w:rsidR="377C6111">
        <w:rPr>
          <w:rFonts w:ascii="Aptos" w:hAnsi="Aptos" w:eastAsia="Aptos" w:cs="Aptos"/>
        </w:rPr>
        <w:t xml:space="preserve">Greenwich Giving will conduct a regular review (at least every 6 months) of which </w:t>
      </w:r>
      <w:r w:rsidRPr="5884C9AC" w:rsidR="5ED98D45">
        <w:rPr>
          <w:rFonts w:ascii="Aptos" w:hAnsi="Aptos" w:eastAsia="Aptos" w:cs="Aptos"/>
        </w:rPr>
        <w:t>charities/community groups</w:t>
      </w:r>
      <w:r w:rsidRPr="5884C9AC" w:rsidR="377C6111">
        <w:rPr>
          <w:rFonts w:ascii="Aptos" w:hAnsi="Aptos" w:eastAsia="Aptos" w:cs="Aptos"/>
        </w:rPr>
        <w:t xml:space="preserve"> have received pro-bono support</w:t>
      </w:r>
      <w:r w:rsidRPr="5884C9AC" w:rsidR="3B48049C">
        <w:rPr>
          <w:rFonts w:ascii="Aptos" w:hAnsi="Aptos" w:eastAsia="Aptos" w:cs="Aptos"/>
        </w:rPr>
        <w:t xml:space="preserve">, to </w:t>
      </w:r>
      <w:r w:rsidRPr="5884C9AC" w:rsidR="3B48049C">
        <w:rPr>
          <w:rFonts w:ascii="Aptos" w:hAnsi="Aptos" w:eastAsia="Aptos" w:cs="Aptos"/>
        </w:rPr>
        <w:t>identify</w:t>
      </w:r>
      <w:r w:rsidRPr="5884C9AC" w:rsidR="3B48049C">
        <w:rPr>
          <w:rFonts w:ascii="Aptos" w:hAnsi="Aptos" w:eastAsia="Aptos" w:cs="Aptos"/>
        </w:rPr>
        <w:t xml:space="preserve"> any </w:t>
      </w:r>
      <w:r w:rsidRPr="5884C9AC" w:rsidR="2D6A8A83">
        <w:rPr>
          <w:rFonts w:ascii="Aptos" w:hAnsi="Aptos" w:eastAsia="Aptos" w:cs="Aptos"/>
        </w:rPr>
        <w:t>groups</w:t>
      </w:r>
      <w:r w:rsidRPr="5884C9AC" w:rsidR="3B48049C">
        <w:rPr>
          <w:rFonts w:ascii="Aptos" w:hAnsi="Aptos" w:eastAsia="Aptos" w:cs="Aptos"/>
        </w:rPr>
        <w:t xml:space="preserve"> who are making regular requests</w:t>
      </w:r>
      <w:r w:rsidRPr="5884C9AC" w:rsidR="55EEE8AB">
        <w:rPr>
          <w:rFonts w:ascii="Aptos" w:hAnsi="Aptos" w:eastAsia="Aptos" w:cs="Aptos"/>
        </w:rPr>
        <w:t xml:space="preserve"> or expressions of interest</w:t>
      </w:r>
      <w:r w:rsidRPr="5884C9AC" w:rsidR="3B48049C">
        <w:rPr>
          <w:rFonts w:ascii="Aptos" w:hAnsi="Aptos" w:eastAsia="Aptos" w:cs="Aptos"/>
        </w:rPr>
        <w:t xml:space="preserve"> that </w:t>
      </w:r>
      <w:r w:rsidRPr="5884C9AC" w:rsidR="3B48049C">
        <w:rPr>
          <w:rFonts w:ascii="Aptos" w:hAnsi="Aptos" w:eastAsia="Aptos" w:cs="Aptos"/>
        </w:rPr>
        <w:t>remain</w:t>
      </w:r>
      <w:r w:rsidRPr="5884C9AC" w:rsidR="3B48049C">
        <w:rPr>
          <w:rFonts w:ascii="Aptos" w:hAnsi="Aptos" w:eastAsia="Aptos" w:cs="Aptos"/>
        </w:rPr>
        <w:t xml:space="preserve"> unfulfilled</w:t>
      </w:r>
      <w:r w:rsidRPr="5884C9AC" w:rsidR="2E016AD1">
        <w:rPr>
          <w:rFonts w:ascii="Aptos" w:hAnsi="Aptos" w:eastAsia="Aptos" w:cs="Aptos"/>
        </w:rPr>
        <w:t>. We will consider whether they</w:t>
      </w:r>
      <w:r w:rsidRPr="5884C9AC" w:rsidR="3B48049C">
        <w:rPr>
          <w:rFonts w:ascii="Aptos" w:hAnsi="Aptos" w:eastAsia="Aptos" w:cs="Aptos"/>
        </w:rPr>
        <w:t xml:space="preserve"> may be suffering from bias </w:t>
      </w:r>
      <w:r w:rsidRPr="5884C9AC" w:rsidR="34AD0519">
        <w:rPr>
          <w:rFonts w:ascii="Aptos" w:hAnsi="Aptos" w:eastAsia="Aptos" w:cs="Aptos"/>
        </w:rPr>
        <w:t xml:space="preserve">(for example </w:t>
      </w:r>
      <w:r w:rsidRPr="5884C9AC" w:rsidR="3B48049C">
        <w:rPr>
          <w:rFonts w:ascii="Aptos" w:hAnsi="Aptos" w:eastAsia="Aptos" w:cs="Aptos"/>
        </w:rPr>
        <w:t xml:space="preserve">against their cause, </w:t>
      </w:r>
      <w:r w:rsidRPr="5884C9AC" w:rsidR="4061F0C4">
        <w:rPr>
          <w:rFonts w:ascii="Aptos" w:hAnsi="Aptos" w:eastAsia="Aptos" w:cs="Aptos"/>
        </w:rPr>
        <w:t>neighbourhood</w:t>
      </w:r>
      <w:r w:rsidRPr="5884C9AC" w:rsidR="4061F0C4">
        <w:rPr>
          <w:rFonts w:ascii="Aptos" w:hAnsi="Aptos" w:eastAsia="Aptos" w:cs="Aptos"/>
        </w:rPr>
        <w:t xml:space="preserve"> or </w:t>
      </w:r>
      <w:r w:rsidRPr="5884C9AC" w:rsidR="67C08671">
        <w:rPr>
          <w:rFonts w:ascii="Aptos" w:hAnsi="Aptos" w:eastAsia="Aptos" w:cs="Aptos"/>
        </w:rPr>
        <w:t>service</w:t>
      </w:r>
      <w:r w:rsidRPr="5884C9AC" w:rsidR="022AE76F">
        <w:rPr>
          <w:rFonts w:ascii="Aptos" w:hAnsi="Aptos" w:eastAsia="Aptos" w:cs="Aptos"/>
        </w:rPr>
        <w:t>-u</w:t>
      </w:r>
      <w:r w:rsidRPr="5884C9AC" w:rsidR="67C08671">
        <w:rPr>
          <w:rFonts w:ascii="Aptos" w:hAnsi="Aptos" w:eastAsia="Aptos" w:cs="Aptos"/>
        </w:rPr>
        <w:t xml:space="preserve">ser </w:t>
      </w:r>
      <w:r w:rsidRPr="5884C9AC" w:rsidR="67C08671">
        <w:rPr>
          <w:rFonts w:ascii="Aptos" w:hAnsi="Aptos" w:eastAsia="Aptos" w:cs="Aptos"/>
        </w:rPr>
        <w:t>base</w:t>
      </w:r>
      <w:r w:rsidRPr="5884C9AC" w:rsidR="41BC142A">
        <w:rPr>
          <w:rFonts w:ascii="Aptos" w:hAnsi="Aptos" w:eastAsia="Aptos" w:cs="Aptos"/>
        </w:rPr>
        <w:t>) and</w:t>
      </w:r>
      <w:r w:rsidRPr="5884C9AC" w:rsidR="3B48049C">
        <w:rPr>
          <w:rFonts w:ascii="Aptos" w:hAnsi="Aptos" w:eastAsia="Aptos" w:cs="Aptos"/>
        </w:rPr>
        <w:t xml:space="preserve"> </w:t>
      </w:r>
      <w:r w:rsidRPr="5884C9AC" w:rsidR="3B48049C">
        <w:rPr>
          <w:rFonts w:ascii="Aptos" w:hAnsi="Aptos" w:eastAsia="Aptos" w:cs="Aptos"/>
        </w:rPr>
        <w:t>attempt</w:t>
      </w:r>
      <w:r w:rsidRPr="5884C9AC" w:rsidR="3B48049C">
        <w:rPr>
          <w:rFonts w:ascii="Aptos" w:hAnsi="Aptos" w:eastAsia="Aptos" w:cs="Aptos"/>
        </w:rPr>
        <w:t xml:space="preserve"> to </w:t>
      </w:r>
      <w:r w:rsidRPr="5884C9AC" w:rsidR="5392AB13">
        <w:rPr>
          <w:rFonts w:ascii="Aptos" w:hAnsi="Aptos" w:eastAsia="Aptos" w:cs="Aptos"/>
        </w:rPr>
        <w:t>address any inequity through active outreach on their behalf to suitable corporate partners</w:t>
      </w:r>
    </w:p>
    <w:p w:rsidR="118780D8" w:rsidP="5884C9AC" w:rsidRDefault="118780D8" w14:paraId="58A73223" w14:textId="2FF6E643">
      <w:pPr>
        <w:pStyle w:val="Normal"/>
        <w:spacing w:after="240" w:afterAutospacing="off"/>
        <w:ind w:left="0"/>
      </w:pPr>
      <w:r w:rsidR="118780D8">
        <w:rPr/>
        <w:t>Some corporates, businesses and organisations will have their own preferences and priorities around w</w:t>
      </w:r>
      <w:r w:rsidR="2361FE23">
        <w:rPr/>
        <w:t>ho</w:t>
      </w:r>
      <w:r w:rsidR="118780D8">
        <w:rPr/>
        <w:t xml:space="preserve"> to support, restricting the role of Greenwich Giving in </w:t>
      </w:r>
      <w:r w:rsidR="118780D8">
        <w:rPr/>
        <w:t>allocating</w:t>
      </w:r>
      <w:r w:rsidR="118780D8">
        <w:rPr/>
        <w:t xml:space="preserve"> their resource according to the above guidelines.</w:t>
      </w:r>
    </w:p>
    <w:p w:rsidR="00627E2B" w:rsidP="2BB90664" w:rsidRDefault="3A2ECBEC" w14:paraId="2BD79AB3" w14:textId="4B58C40D">
      <w:pPr>
        <w:pStyle w:val="Heading3"/>
        <w:spacing w:before="281" w:after="281"/>
      </w:pPr>
      <w:r w:rsidRPr="2BB90664">
        <w:rPr>
          <w:rFonts w:ascii="Aptos" w:hAnsi="Aptos" w:eastAsia="Aptos" w:cs="Aptos"/>
          <w:b/>
          <w:bCs/>
        </w:rPr>
        <w:t>8. Enforcement and Consequences</w:t>
      </w:r>
    </w:p>
    <w:p w:rsidR="00627E2B" w:rsidP="2BB90664" w:rsidRDefault="3A2ECBEC" w14:paraId="4BEF8CED" w14:textId="5B3B7BF7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</w:rPr>
      </w:pPr>
      <w:r w:rsidRPr="2B1FC677" w:rsidR="3A2ECBEC">
        <w:rPr>
          <w:rFonts w:ascii="Aptos" w:hAnsi="Aptos" w:eastAsia="Aptos" w:cs="Aptos"/>
        </w:rPr>
        <w:t xml:space="preserve">Violations of this policy may result in disciplinary action, including removal from the </w:t>
      </w:r>
      <w:r w:rsidRPr="2B1FC677" w:rsidR="3A2ECBEC">
        <w:rPr>
          <w:rFonts w:ascii="Aptos" w:hAnsi="Aptos" w:eastAsia="Aptos" w:cs="Aptos"/>
        </w:rPr>
        <w:t>Steering Group</w:t>
      </w:r>
      <w:r w:rsidRPr="2B1FC677" w:rsidR="593C0675">
        <w:rPr>
          <w:rFonts w:ascii="Aptos" w:hAnsi="Aptos" w:eastAsia="Aptos" w:cs="Aptos"/>
        </w:rPr>
        <w:t>, grants panel</w:t>
      </w:r>
      <w:r w:rsidRPr="2B1FC677" w:rsidR="1516170D">
        <w:rPr>
          <w:rFonts w:ascii="Aptos" w:hAnsi="Aptos" w:eastAsia="Aptos" w:cs="Aptos"/>
        </w:rPr>
        <w:t>,</w:t>
      </w:r>
      <w:r w:rsidRPr="2B1FC677" w:rsidR="593C0675">
        <w:rPr>
          <w:rFonts w:ascii="Aptos" w:hAnsi="Aptos" w:eastAsia="Aptos" w:cs="Aptos"/>
        </w:rPr>
        <w:t xml:space="preserve"> etc</w:t>
      </w:r>
      <w:r w:rsidRPr="2B1FC677" w:rsidR="0E0E7FB2">
        <w:rPr>
          <w:rFonts w:ascii="Aptos" w:hAnsi="Aptos" w:eastAsia="Aptos" w:cs="Aptos"/>
        </w:rPr>
        <w:t>.</w:t>
      </w:r>
    </w:p>
    <w:p w:rsidR="00627E2B" w:rsidP="2BB90664" w:rsidRDefault="3A2ECBEC" w14:paraId="1777B1CC" w14:textId="62C093EC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</w:rPr>
      </w:pPr>
      <w:r w:rsidRPr="2BB90664">
        <w:rPr>
          <w:rFonts w:ascii="Aptos" w:hAnsi="Aptos" w:eastAsia="Aptos" w:cs="Aptos"/>
        </w:rPr>
        <w:t>If a grant or pro-bono support is found to have been awarded in violation of this policy, Greenwich Giving reserves the right to review and potentially revoke the award</w:t>
      </w:r>
    </w:p>
    <w:p w:rsidR="00627E2B" w:rsidP="2BB90664" w:rsidRDefault="3A2ECBEC" w14:paraId="274FF53A" w14:textId="540CA0F3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</w:rPr>
      </w:pPr>
      <w:r w:rsidRPr="2B1FC677" w:rsidR="3A2ECBEC">
        <w:rPr>
          <w:rFonts w:ascii="Aptos" w:hAnsi="Aptos" w:eastAsia="Aptos" w:cs="Aptos"/>
        </w:rPr>
        <w:t xml:space="preserve">Any concerns about conflicts of interest should be raised with </w:t>
      </w:r>
      <w:r w:rsidRPr="2B1FC677" w:rsidR="3A2ECBEC">
        <w:rPr>
          <w:rFonts w:ascii="Aptos" w:hAnsi="Aptos" w:eastAsia="Aptos" w:cs="Aptos"/>
        </w:rPr>
        <w:t xml:space="preserve">the </w:t>
      </w:r>
      <w:r w:rsidRPr="2B1FC677" w:rsidR="23886653">
        <w:rPr>
          <w:rFonts w:ascii="Aptos" w:hAnsi="Aptos" w:eastAsia="Aptos" w:cs="Aptos"/>
        </w:rPr>
        <w:t>Head of Greenwich Giving (</w:t>
      </w:r>
      <w:hyperlink r:id="R51a5c6a83e1f4605">
        <w:r w:rsidRPr="2B1FC677" w:rsidR="23886653">
          <w:rPr>
            <w:rStyle w:val="Hyperlink"/>
            <w:rFonts w:ascii="Aptos" w:hAnsi="Aptos" w:eastAsia="Aptos" w:cs="Aptos"/>
          </w:rPr>
          <w:t>anna.ritchie@metrocharity.org.uk</w:t>
        </w:r>
      </w:hyperlink>
      <w:r w:rsidRPr="2B1FC677" w:rsidR="23886653">
        <w:rPr>
          <w:rFonts w:ascii="Aptos" w:hAnsi="Aptos" w:eastAsia="Aptos" w:cs="Aptos"/>
        </w:rPr>
        <w:t>) or the Chair of the Steering Group (TBC)</w:t>
      </w:r>
    </w:p>
    <w:p w:rsidR="00627E2B" w:rsidP="2BB90664" w:rsidRDefault="3A2ECBEC" w14:paraId="3D248B29" w14:textId="0D12501F">
      <w:pPr>
        <w:pStyle w:val="Heading3"/>
        <w:spacing w:before="281" w:after="281"/>
      </w:pPr>
      <w:r w:rsidRPr="2BB90664">
        <w:rPr>
          <w:rFonts w:ascii="Aptos" w:hAnsi="Aptos" w:eastAsia="Aptos" w:cs="Aptos"/>
          <w:b/>
          <w:bCs/>
        </w:rPr>
        <w:t>9. Policy Review</w:t>
      </w:r>
    </w:p>
    <w:p w:rsidR="00627E2B" w:rsidP="2BB90664" w:rsidRDefault="3A2ECBEC" w14:paraId="0C4C33F1" w14:textId="2F952B00">
      <w:pPr>
        <w:spacing w:before="240" w:after="240"/>
      </w:pPr>
      <w:r w:rsidRPr="0361B61D" w:rsidR="3A2ECBEC">
        <w:rPr>
          <w:rFonts w:ascii="Aptos" w:hAnsi="Aptos" w:eastAsia="Aptos" w:cs="Aptos"/>
        </w:rPr>
        <w:t xml:space="preserve">This policy will be reviewed annually by the Steering Group to ensure it </w:t>
      </w:r>
      <w:r w:rsidRPr="0361B61D" w:rsidR="3A2ECBEC">
        <w:rPr>
          <w:rFonts w:ascii="Aptos" w:hAnsi="Aptos" w:eastAsia="Aptos" w:cs="Aptos"/>
        </w:rPr>
        <w:t>remains</w:t>
      </w:r>
      <w:r w:rsidRPr="0361B61D" w:rsidR="3A2ECBEC">
        <w:rPr>
          <w:rFonts w:ascii="Aptos" w:hAnsi="Aptos" w:eastAsia="Aptos" w:cs="Aptos"/>
        </w:rPr>
        <w:t xml:space="preserve"> effective and </w:t>
      </w:r>
      <w:r w:rsidRPr="0361B61D" w:rsidR="3A2ECBEC">
        <w:rPr>
          <w:rFonts w:ascii="Aptos" w:hAnsi="Aptos" w:eastAsia="Aptos" w:cs="Aptos"/>
        </w:rPr>
        <w:t>appropriate to</w:t>
      </w:r>
      <w:r w:rsidRPr="0361B61D" w:rsidR="3A2ECBEC">
        <w:rPr>
          <w:rFonts w:ascii="Aptos" w:hAnsi="Aptos" w:eastAsia="Aptos" w:cs="Aptos"/>
        </w:rPr>
        <w:t xml:space="preserve"> Greenwich Giving's operations.</w:t>
      </w:r>
    </w:p>
    <w:p w:rsidR="42E2FE82" w:rsidP="0361B61D" w:rsidRDefault="42E2FE82" w14:paraId="05886F10" w14:textId="0184E970">
      <w:pPr>
        <w:pStyle w:val="Heading3"/>
        <w:spacing w:before="281" w:after="281"/>
      </w:pPr>
      <w:r w:rsidRPr="0361B61D" w:rsidR="42E2FE82">
        <w:rPr>
          <w:rFonts w:ascii="Aptos" w:hAnsi="Aptos" w:eastAsia="Aptos" w:cs="Aptos"/>
          <w:b w:val="1"/>
          <w:bCs w:val="1"/>
        </w:rPr>
        <w:t>9. Register of Declarations of Interest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2460"/>
        <w:gridCol w:w="3550"/>
        <w:gridCol w:w="3005"/>
      </w:tblGrid>
      <w:tr w:rsidR="674F10EC" w:rsidTr="2B1FC677" w14:paraId="749E7C92">
        <w:trPr>
          <w:trHeight w:val="690"/>
        </w:trPr>
        <w:tc>
          <w:tcPr>
            <w:tcW w:w="2460" w:type="dxa"/>
            <w:shd w:val="clear" w:color="auto" w:fill="D9F2D0" w:themeFill="accent6" w:themeFillTint="33"/>
            <w:tcMar/>
          </w:tcPr>
          <w:p w:rsidR="674F10EC" w:rsidP="0361B61D" w:rsidRDefault="674F10EC" w14:paraId="693A5288" w14:textId="024D758B">
            <w:pPr>
              <w:pStyle w:val="Normal"/>
              <w:rPr>
                <w:b w:val="1"/>
                <w:bCs w:val="1"/>
              </w:rPr>
            </w:pPr>
            <w:r w:rsidRPr="0361B61D" w:rsidR="3860C528">
              <w:rPr>
                <w:b w:val="1"/>
                <w:bCs w:val="1"/>
              </w:rPr>
              <w:t>Name/Role</w:t>
            </w:r>
          </w:p>
        </w:tc>
        <w:tc>
          <w:tcPr>
            <w:tcW w:w="3550" w:type="dxa"/>
            <w:shd w:val="clear" w:color="auto" w:fill="D9F2D0" w:themeFill="accent6" w:themeFillTint="33"/>
            <w:tcMar/>
          </w:tcPr>
          <w:p w:rsidR="674F10EC" w:rsidP="0361B61D" w:rsidRDefault="674F10EC" w14:paraId="3EA95F97" w14:textId="549BEC2F">
            <w:pPr>
              <w:pStyle w:val="Normal"/>
              <w:rPr>
                <w:b w:val="1"/>
                <w:bCs w:val="1"/>
              </w:rPr>
            </w:pPr>
            <w:r w:rsidRPr="0361B61D" w:rsidR="3860C528">
              <w:rPr>
                <w:b w:val="1"/>
                <w:bCs w:val="1"/>
              </w:rPr>
              <w:t>Conflict of Interest declared</w:t>
            </w:r>
          </w:p>
        </w:tc>
        <w:tc>
          <w:tcPr>
            <w:tcW w:w="3005" w:type="dxa"/>
            <w:shd w:val="clear" w:color="auto" w:fill="D9F2D0" w:themeFill="accent6" w:themeFillTint="33"/>
            <w:tcMar/>
          </w:tcPr>
          <w:p w:rsidR="674F10EC" w:rsidP="0361B61D" w:rsidRDefault="674F10EC" w14:paraId="10914893" w14:textId="5D7BEAC7">
            <w:pPr>
              <w:pStyle w:val="Normal"/>
              <w:rPr>
                <w:b w:val="1"/>
                <w:bCs w:val="1"/>
              </w:rPr>
            </w:pPr>
            <w:r w:rsidRPr="0361B61D" w:rsidR="3860C528">
              <w:rPr>
                <w:b w:val="1"/>
                <w:bCs w:val="1"/>
              </w:rPr>
              <w:t>Mitigation</w:t>
            </w:r>
          </w:p>
        </w:tc>
      </w:tr>
      <w:tr w:rsidR="674F10EC" w:rsidTr="2B1FC677" w14:paraId="040538FD">
        <w:trPr>
          <w:trHeight w:val="300"/>
        </w:trPr>
        <w:tc>
          <w:tcPr>
            <w:tcW w:w="2460" w:type="dxa"/>
            <w:tcMar/>
          </w:tcPr>
          <w:p w:rsidR="0361B61D" w:rsidP="0361B61D" w:rsidRDefault="0361B61D" w14:paraId="73649004" w14:textId="6F0D6461">
            <w:pPr>
              <w:pStyle w:val="Normal"/>
            </w:pPr>
          </w:p>
          <w:p w:rsidR="674F10EC" w:rsidP="674F10EC" w:rsidRDefault="674F10EC" w14:paraId="3B824946" w14:textId="429B9C03">
            <w:pPr>
              <w:pStyle w:val="Normal"/>
            </w:pPr>
            <w:r w:rsidR="1AAF6623">
              <w:rPr/>
              <w:t xml:space="preserve">Anna Ritchie, </w:t>
            </w:r>
            <w:r>
              <w:br/>
            </w:r>
            <w:r w:rsidR="1AAF6623">
              <w:rPr/>
              <w:t xml:space="preserve">Head of Greenwich Giving </w:t>
            </w:r>
          </w:p>
        </w:tc>
        <w:tc>
          <w:tcPr>
            <w:tcW w:w="3550" w:type="dxa"/>
            <w:tcMar/>
          </w:tcPr>
          <w:p w:rsidR="0361B61D" w:rsidP="0361B61D" w:rsidRDefault="0361B61D" w14:paraId="22B1F00E" w14:textId="0BE88BB1">
            <w:pPr>
              <w:pStyle w:val="Normal"/>
            </w:pPr>
          </w:p>
          <w:p w:rsidR="674F10EC" w:rsidP="674F10EC" w:rsidRDefault="674F10EC" w14:paraId="0F542859" w14:textId="11F471D9">
            <w:pPr>
              <w:pStyle w:val="Normal"/>
            </w:pPr>
            <w:r w:rsidR="1AAF6623">
              <w:rPr/>
              <w:t>Employee of METRO Charity which is incubating Greenwich Giving during its pilot phase</w:t>
            </w:r>
            <w:r>
              <w:br/>
            </w:r>
            <w:r>
              <w:br/>
            </w:r>
            <w:r w:rsidR="58715EB2">
              <w:rPr/>
              <w:t>(METRO also holds METRO GAVS and METRO GAD</w:t>
            </w:r>
            <w:r w:rsidR="3DC28A0E">
              <w:rPr/>
              <w:t>, both</w:t>
            </w:r>
            <w:r w:rsidR="58715EB2">
              <w:rPr/>
              <w:t xml:space="preserve"> third-sector organisations</w:t>
            </w:r>
            <w:r w:rsidR="750D5588">
              <w:rPr/>
              <w:t xml:space="preserve"> operating</w:t>
            </w:r>
            <w:r w:rsidR="58715EB2">
              <w:rPr/>
              <w:t xml:space="preserve"> in the borough)</w:t>
            </w:r>
          </w:p>
          <w:p w:rsidR="674F10EC" w:rsidP="674F10EC" w:rsidRDefault="674F10EC" w14:paraId="069C8ECA" w14:textId="379D8CA6">
            <w:pPr>
              <w:pStyle w:val="Normal"/>
            </w:pPr>
          </w:p>
        </w:tc>
        <w:tc>
          <w:tcPr>
            <w:tcW w:w="3005" w:type="dxa"/>
            <w:tcMar/>
          </w:tcPr>
          <w:p w:rsidR="674F10EC" w:rsidP="674F10EC" w:rsidRDefault="674F10EC" w14:paraId="7051F44F" w14:textId="7A8DEF09">
            <w:pPr>
              <w:pStyle w:val="Normal"/>
            </w:pPr>
          </w:p>
          <w:p w:rsidR="674F10EC" w:rsidP="674F10EC" w:rsidRDefault="674F10EC" w14:paraId="3CB0F0DA" w14:textId="74831C18">
            <w:pPr>
              <w:pStyle w:val="Normal"/>
            </w:pPr>
            <w:r w:rsidR="5BCB475C">
              <w:rPr/>
              <w:t xml:space="preserve">Any applications from pro-bono support from METRO Charity or its subsidiaries will go through the same matching process that applies to every local charity. </w:t>
            </w:r>
          </w:p>
          <w:p w:rsidR="674F10EC" w:rsidP="674F10EC" w:rsidRDefault="674F10EC" w14:paraId="38106DBA" w14:textId="78B6B46F">
            <w:pPr>
              <w:pStyle w:val="Normal"/>
            </w:pPr>
          </w:p>
          <w:p w:rsidR="674F10EC" w:rsidP="674F10EC" w:rsidRDefault="674F10EC" w14:paraId="5671F0F6" w14:textId="24F6A5DB">
            <w:pPr>
              <w:pStyle w:val="Normal"/>
            </w:pPr>
            <w:r w:rsidR="5BCB475C">
              <w:rPr/>
              <w:t xml:space="preserve">Anna will not be involved in any discussions or screenings </w:t>
            </w:r>
            <w:r w:rsidR="5BCB475C">
              <w:rPr/>
              <w:t>regarding</w:t>
            </w:r>
            <w:r w:rsidR="5BCB475C">
              <w:rPr/>
              <w:t xml:space="preserve"> funding applications that come from METRO Charity or its subsidiaries </w:t>
            </w:r>
          </w:p>
          <w:p w:rsidR="674F10EC" w:rsidP="674F10EC" w:rsidRDefault="674F10EC" w14:paraId="0F2F12EE" w14:textId="029F78DF">
            <w:pPr>
              <w:pStyle w:val="Normal"/>
            </w:pPr>
          </w:p>
          <w:p w:rsidR="674F10EC" w:rsidP="2B1FC677" w:rsidRDefault="674F10EC" w14:paraId="40D23529" w14:textId="0F572EA1">
            <w:pPr>
              <w:pStyle w:val="Normal"/>
              <w:suppressLineNumbers w:val="0"/>
              <w:spacing w:before="0" w:beforeAutospacing="off" w:after="0" w:afterAutospacing="off" w:line="240" w:lineRule="auto"/>
              <w:ind w:left="0" w:right="0"/>
              <w:jc w:val="left"/>
            </w:pPr>
            <w:r w:rsidR="70EE54C4">
              <w:rPr/>
              <w:t xml:space="preserve">Greenwich Giving will keep separate databases, information storage, and lines of communication </w:t>
            </w:r>
            <w:r w:rsidR="6574B32B">
              <w:rPr/>
              <w:t>that are</w:t>
            </w:r>
            <w:r w:rsidR="70EE54C4">
              <w:rPr/>
              <w:t xml:space="preserve"> not accessible to other METRO staff members – meaning METRO will not access any potentially </w:t>
            </w:r>
            <w:r w:rsidR="70EE54C4">
              <w:rPr/>
              <w:t>advantageous</w:t>
            </w:r>
            <w:r w:rsidR="70EE54C4">
              <w:rPr/>
              <w:t xml:space="preserve"> </w:t>
            </w:r>
            <w:r w:rsidR="5733B0F8">
              <w:rPr/>
              <w:t xml:space="preserve">information which could </w:t>
            </w:r>
            <w:r w:rsidR="5733B0F8">
              <w:rPr/>
              <w:t>benefit</w:t>
            </w:r>
            <w:r w:rsidR="5733B0F8">
              <w:rPr/>
              <w:t xml:space="preserve"> them with regards to grant applications or similar</w:t>
            </w:r>
          </w:p>
          <w:p w:rsidR="674F10EC" w:rsidP="5884C9AC" w:rsidRDefault="674F10EC" w14:paraId="2A43D2DF" w14:textId="7774E05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</w:p>
        </w:tc>
      </w:tr>
      <w:tr w:rsidR="674F10EC" w:rsidTr="2B1FC677" w14:paraId="3176D684">
        <w:trPr>
          <w:trHeight w:val="300"/>
        </w:trPr>
        <w:tc>
          <w:tcPr>
            <w:tcW w:w="2460" w:type="dxa"/>
            <w:tcMar/>
          </w:tcPr>
          <w:p w:rsidR="0361B61D" w:rsidP="0361B61D" w:rsidRDefault="0361B61D" w14:paraId="5781F709" w14:textId="4B01D94D">
            <w:pPr>
              <w:pStyle w:val="Normal"/>
            </w:pPr>
          </w:p>
          <w:p w:rsidR="674F10EC" w:rsidP="674F10EC" w:rsidRDefault="674F10EC" w14:paraId="46A28FF7" w14:textId="084FCA6C">
            <w:pPr>
              <w:pStyle w:val="Normal"/>
            </w:pPr>
            <w:r w:rsidR="1AAF6623">
              <w:rPr/>
              <w:t>Hannah Weber</w:t>
            </w:r>
            <w:r w:rsidR="2F074B66">
              <w:rPr/>
              <w:t>, Comms &amp; Community Coordinator for Greenwich Giving</w:t>
            </w:r>
          </w:p>
        </w:tc>
        <w:tc>
          <w:tcPr>
            <w:tcW w:w="3550" w:type="dxa"/>
            <w:tcMar/>
          </w:tcPr>
          <w:p w:rsidR="674F10EC" w:rsidP="674F10EC" w:rsidRDefault="674F10EC" w14:paraId="609CBD9F" w14:textId="0BE88BB1">
            <w:pPr>
              <w:pStyle w:val="Normal"/>
            </w:pPr>
          </w:p>
          <w:p w:rsidR="674F10EC" w:rsidP="674F10EC" w:rsidRDefault="674F10EC" w14:paraId="2ACCFD12" w14:textId="09E375CA">
            <w:pPr>
              <w:pStyle w:val="Normal"/>
            </w:pPr>
            <w:r w:rsidR="1A3E1A25">
              <w:rPr/>
              <w:t>Employee of METRO Charity which is incubating Greenwich Giving during its pilot phase</w:t>
            </w:r>
            <w:r w:rsidR="1E57F7B3">
              <w:rPr/>
              <w:t xml:space="preserve"> </w:t>
            </w:r>
            <w:r>
              <w:br/>
            </w:r>
          </w:p>
          <w:p w:rsidR="674F10EC" w:rsidP="674F10EC" w:rsidRDefault="674F10EC" w14:paraId="13277B72" w14:textId="16AEDCAE">
            <w:pPr>
              <w:pStyle w:val="Normal"/>
            </w:pPr>
            <w:r w:rsidR="1CAE1A92">
              <w:rPr/>
              <w:t>(METRO also holds METRO GAVS and METRO GAD, both third-sector organisations operating in the borough)</w:t>
            </w:r>
          </w:p>
          <w:p w:rsidR="674F10EC" w:rsidP="674F10EC" w:rsidRDefault="674F10EC" w14:paraId="2442C7C9" w14:textId="40813C90">
            <w:pPr>
              <w:pStyle w:val="Normal"/>
            </w:pPr>
          </w:p>
        </w:tc>
        <w:tc>
          <w:tcPr>
            <w:tcW w:w="3005" w:type="dxa"/>
            <w:tcMar/>
          </w:tcPr>
          <w:p w:rsidR="674F10EC" w:rsidP="674F10EC" w:rsidRDefault="674F10EC" w14:paraId="0CD95D05" w14:textId="5DE7B34A">
            <w:pPr>
              <w:pStyle w:val="Normal"/>
            </w:pPr>
          </w:p>
          <w:p w:rsidR="674F10EC" w:rsidP="674F10EC" w:rsidRDefault="674F10EC" w14:paraId="56D00275" w14:textId="74831C18">
            <w:pPr>
              <w:pStyle w:val="Normal"/>
            </w:pPr>
            <w:r w:rsidR="150D7A90">
              <w:rPr/>
              <w:t xml:space="preserve">Any applications from pro-bono support from METRO Charity or its subsidiaries will go through the same matching process that applies to every local charity. </w:t>
            </w:r>
          </w:p>
          <w:p w:rsidR="674F10EC" w:rsidP="674F10EC" w:rsidRDefault="674F10EC" w14:paraId="303997C6" w14:textId="78B6B46F">
            <w:pPr>
              <w:pStyle w:val="Normal"/>
            </w:pPr>
          </w:p>
          <w:p w:rsidR="674F10EC" w:rsidP="674F10EC" w:rsidRDefault="674F10EC" w14:paraId="5AFB6259" w14:textId="2BF1E069">
            <w:pPr>
              <w:pStyle w:val="Normal"/>
            </w:pPr>
            <w:r w:rsidR="1AED481B">
              <w:rPr/>
              <w:t>Ha</w:t>
            </w:r>
            <w:r w:rsidR="0E2D1F7F">
              <w:rPr/>
              <w:t>nna</w:t>
            </w:r>
            <w:r w:rsidR="07F1A668">
              <w:rPr/>
              <w:t>h</w:t>
            </w:r>
            <w:r w:rsidR="0E2D1F7F">
              <w:rPr/>
              <w:t xml:space="preserve"> will not be involved in any discussions or screenings </w:t>
            </w:r>
            <w:r w:rsidR="0E2D1F7F">
              <w:rPr/>
              <w:t>regarding</w:t>
            </w:r>
            <w:r w:rsidR="0E2D1F7F">
              <w:rPr/>
              <w:t xml:space="preserve"> funding applications that come from METRO Charity or its subsidiaries </w:t>
            </w:r>
          </w:p>
          <w:p w:rsidR="674F10EC" w:rsidP="674F10EC" w:rsidRDefault="674F10EC" w14:paraId="27BAA444" w14:textId="029F78DF">
            <w:pPr>
              <w:pStyle w:val="Normal"/>
            </w:pPr>
          </w:p>
          <w:p w:rsidR="674F10EC" w:rsidP="5884C9AC" w:rsidRDefault="674F10EC" w14:paraId="2698BC81" w14:textId="0B39557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0E2D1F7F">
              <w:rPr/>
              <w:t xml:space="preserve">Greenwich Giving will keep separate databases, information storage, and lines of communication </w:t>
            </w:r>
            <w:r w:rsidR="70F56D70">
              <w:rPr/>
              <w:t>that</w:t>
            </w:r>
            <w:r w:rsidR="0E2D1F7F">
              <w:rPr/>
              <w:t xml:space="preserve"> are not accessible to other METRO staff members – meaning METRO will not access any potentially </w:t>
            </w:r>
            <w:r w:rsidR="0E2D1F7F">
              <w:rPr/>
              <w:t>advantageous</w:t>
            </w:r>
            <w:r w:rsidR="0E2D1F7F">
              <w:rPr/>
              <w:t xml:space="preserve"> information which could </w:t>
            </w:r>
            <w:r w:rsidR="0E2D1F7F">
              <w:rPr/>
              <w:t>benefit</w:t>
            </w:r>
            <w:r w:rsidR="0E2D1F7F">
              <w:rPr/>
              <w:t xml:space="preserve"> them with regards to grant applications or similar</w:t>
            </w:r>
          </w:p>
          <w:p w:rsidR="674F10EC" w:rsidP="674F10EC" w:rsidRDefault="674F10EC" w14:paraId="25A8F6FA" w14:textId="53CDBC27">
            <w:pPr>
              <w:pStyle w:val="Normal"/>
            </w:pPr>
          </w:p>
        </w:tc>
      </w:tr>
      <w:tr w:rsidR="674F10EC" w:rsidTr="2B1FC677" w14:paraId="528337D0">
        <w:trPr>
          <w:trHeight w:val="300"/>
        </w:trPr>
        <w:tc>
          <w:tcPr>
            <w:tcW w:w="2460" w:type="dxa"/>
            <w:tcMar/>
          </w:tcPr>
          <w:p w:rsidR="674F10EC" w:rsidP="674F10EC" w:rsidRDefault="674F10EC" w14:paraId="11B2C0C8" w14:textId="2F5D9709">
            <w:pPr>
              <w:pStyle w:val="Normal"/>
            </w:pPr>
          </w:p>
          <w:p w:rsidR="674F10EC" w:rsidP="674F10EC" w:rsidRDefault="674F10EC" w14:paraId="071D5449" w14:textId="031744CA">
            <w:pPr>
              <w:pStyle w:val="Normal"/>
            </w:pPr>
          </w:p>
          <w:p w:rsidR="674F10EC" w:rsidP="674F10EC" w:rsidRDefault="674F10EC" w14:paraId="6E12401A" w14:textId="60B82CD3">
            <w:pPr>
              <w:pStyle w:val="Normal"/>
            </w:pPr>
          </w:p>
        </w:tc>
        <w:tc>
          <w:tcPr>
            <w:tcW w:w="3550" w:type="dxa"/>
            <w:tcMar/>
          </w:tcPr>
          <w:p w:rsidR="674F10EC" w:rsidP="674F10EC" w:rsidRDefault="674F10EC" w14:paraId="3001EDF5" w14:textId="40C414C0">
            <w:pPr>
              <w:pStyle w:val="Normal"/>
            </w:pPr>
          </w:p>
        </w:tc>
        <w:tc>
          <w:tcPr>
            <w:tcW w:w="3005" w:type="dxa"/>
            <w:tcMar/>
          </w:tcPr>
          <w:p w:rsidR="674F10EC" w:rsidP="674F10EC" w:rsidRDefault="674F10EC" w14:paraId="457E675E" w14:textId="258FC2F3">
            <w:pPr>
              <w:pStyle w:val="Normal"/>
            </w:pPr>
          </w:p>
        </w:tc>
      </w:tr>
    </w:tbl>
    <w:p w:rsidR="674F10EC" w:rsidP="2B1FC677" w:rsidRDefault="674F10EC" w14:paraId="33559E3F" w14:textId="4D27DD15">
      <w:pPr>
        <w:rPr>
          <w:b w:val="1"/>
          <w:bCs w:val="1"/>
          <w:color w:val="FF0000"/>
        </w:rPr>
      </w:pPr>
      <w:r w:rsidRPr="2B1FC677" w:rsidR="526695F1">
        <w:rPr>
          <w:b w:val="1"/>
          <w:bCs w:val="1"/>
          <w:color w:val="FF0000"/>
        </w:rPr>
        <w:t>Note: We are still collecting our Steering group members’ potential conflicts of interest. These will be added to the declaration of interest section as soon as possible.</w:t>
      </w:r>
    </w:p>
    <w:sectPr w:rsidR="00627E2B"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925bcf1e9bf8403e"/>
      <w:footerReference w:type="default" r:id="R5fb3cbdb23544bae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74F10EC" w:rsidTr="674F10EC" w14:paraId="78F29D19">
      <w:trPr>
        <w:trHeight w:val="300"/>
      </w:trPr>
      <w:tc>
        <w:tcPr>
          <w:tcW w:w="3005" w:type="dxa"/>
          <w:tcMar/>
        </w:tcPr>
        <w:p w:rsidR="674F10EC" w:rsidP="674F10EC" w:rsidRDefault="674F10EC" w14:paraId="2A461553" w14:textId="4B70123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74F10EC" w:rsidP="674F10EC" w:rsidRDefault="674F10EC" w14:paraId="3ED1E448" w14:textId="68B6200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74F10EC" w:rsidP="674F10EC" w:rsidRDefault="674F10EC" w14:paraId="1E2E7143" w14:textId="221414D7">
          <w:pPr>
            <w:pStyle w:val="Header"/>
            <w:bidi w:val="0"/>
            <w:ind w:right="-115"/>
            <w:jc w:val="right"/>
          </w:pPr>
        </w:p>
      </w:tc>
    </w:tr>
  </w:tbl>
  <w:p w:rsidR="674F10EC" w:rsidP="674F10EC" w:rsidRDefault="674F10EC" w14:paraId="021C5496" w14:textId="5E22FC6D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674F10EC" w:rsidP="0361B61D" w:rsidRDefault="674F10EC" w14:paraId="7292AB0A" w14:textId="44642BCA">
    <w:pPr>
      <w:bidi w:val="0"/>
      <w:jc w:val="center"/>
    </w:pPr>
    <w:r w:rsidR="0361B61D">
      <w:drawing>
        <wp:inline wp14:editId="10D980ED" wp14:anchorId="14C35538">
          <wp:extent cx="1401044" cy="616459"/>
          <wp:effectExtent l="0" t="0" r="0" b="0"/>
          <wp:docPr id="1116363739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ab01429b50a94fe7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1044" cy="616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iPDzJuKX" int2:invalidationBookmarkName="" int2:hashCode="SeBeeAHBIoMtHN" int2:id="PQIzBY9A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66927"/>
    <w:multiLevelType w:val="hybridMultilevel"/>
    <w:tmpl w:val="69C044A6"/>
    <w:lvl w:ilvl="0" w:tplc="EEF49E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F2052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B6D3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2694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1F24F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E2D5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B4C9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46BB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6024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0F297F"/>
    <w:multiLevelType w:val="hybridMultilevel"/>
    <w:tmpl w:val="721C404E"/>
    <w:lvl w:ilvl="0" w:tplc="78C477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E2212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1603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3F0A3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ACF4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1455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B081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7E02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6AA9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32AA44"/>
    <w:multiLevelType w:val="hybridMultilevel"/>
    <w:tmpl w:val="233065AA"/>
    <w:lvl w:ilvl="0" w:tplc="859E73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676B1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F28D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AC61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A0FE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2CC4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C4C7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AEC79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3ED4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114598"/>
    <w:multiLevelType w:val="hybridMultilevel"/>
    <w:tmpl w:val="10607686"/>
    <w:lvl w:ilvl="0" w:tplc="51FA55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2E2AE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3CD5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1A61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DE16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A5A90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A6EB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8AA6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4E13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A0E0E0"/>
    <w:multiLevelType w:val="hybridMultilevel"/>
    <w:tmpl w:val="59D4AF7E"/>
    <w:lvl w:ilvl="0" w:tplc="FEF49E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5853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70A5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9CA0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2C56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FAEB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26AE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F6A1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669E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9E2E625"/>
    <w:multiLevelType w:val="hybridMultilevel"/>
    <w:tmpl w:val="085049D6"/>
    <w:lvl w:ilvl="0" w:tplc="FF96E3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6217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9EE7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86A5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04C93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FC1C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BEE7B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8CEA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AC36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3FDDF1"/>
    <w:multiLevelType w:val="hybridMultilevel"/>
    <w:tmpl w:val="29EE008C"/>
    <w:lvl w:ilvl="0" w:tplc="50F05A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4DE5D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E5EF8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AA67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6684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5ED9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7682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32D1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FDA83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22A073"/>
    <w:multiLevelType w:val="hybridMultilevel"/>
    <w:tmpl w:val="DA14F522"/>
    <w:lvl w:ilvl="0" w:tplc="C55617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5878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FCE65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E22B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20A4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FCC6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307C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51071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18C8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8D94448"/>
    <w:multiLevelType w:val="hybridMultilevel"/>
    <w:tmpl w:val="5BF41924"/>
    <w:lvl w:ilvl="0" w:tplc="E2D22D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FAB4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3EC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F645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28DD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D2F4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0AEE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9B653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7A12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48653369">
    <w:abstractNumId w:val="7"/>
  </w:num>
  <w:num w:numId="2" w16cid:durableId="1348553889">
    <w:abstractNumId w:val="3"/>
  </w:num>
  <w:num w:numId="3" w16cid:durableId="1757938079">
    <w:abstractNumId w:val="4"/>
  </w:num>
  <w:num w:numId="4" w16cid:durableId="1033963216">
    <w:abstractNumId w:val="5"/>
  </w:num>
  <w:num w:numId="5" w16cid:durableId="1424448041">
    <w:abstractNumId w:val="8"/>
  </w:num>
  <w:num w:numId="6" w16cid:durableId="1661034437">
    <w:abstractNumId w:val="1"/>
  </w:num>
  <w:num w:numId="7" w16cid:durableId="964122105">
    <w:abstractNumId w:val="6"/>
  </w:num>
  <w:num w:numId="8" w16cid:durableId="336464763">
    <w:abstractNumId w:val="0"/>
  </w:num>
  <w:num w:numId="9" w16cid:durableId="1694573386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FBD5EE"/>
    <w:rsid w:val="00124E53"/>
    <w:rsid w:val="0013756C"/>
    <w:rsid w:val="001B0DC1"/>
    <w:rsid w:val="00206182"/>
    <w:rsid w:val="0023157D"/>
    <w:rsid w:val="0036346F"/>
    <w:rsid w:val="0043042F"/>
    <w:rsid w:val="0047589B"/>
    <w:rsid w:val="00627E2B"/>
    <w:rsid w:val="007E034D"/>
    <w:rsid w:val="007E3756"/>
    <w:rsid w:val="00BE6CE5"/>
    <w:rsid w:val="00BF2823"/>
    <w:rsid w:val="00D369FC"/>
    <w:rsid w:val="00EF07E7"/>
    <w:rsid w:val="00FA66F1"/>
    <w:rsid w:val="016EE8CF"/>
    <w:rsid w:val="022AE76F"/>
    <w:rsid w:val="023C0D03"/>
    <w:rsid w:val="02559D91"/>
    <w:rsid w:val="02DE09D2"/>
    <w:rsid w:val="0361B61D"/>
    <w:rsid w:val="03A6F9E2"/>
    <w:rsid w:val="03DE3B56"/>
    <w:rsid w:val="04E661DD"/>
    <w:rsid w:val="04F4BA20"/>
    <w:rsid w:val="0501F799"/>
    <w:rsid w:val="056F8327"/>
    <w:rsid w:val="05A92932"/>
    <w:rsid w:val="068DEA19"/>
    <w:rsid w:val="070D5ECF"/>
    <w:rsid w:val="07296269"/>
    <w:rsid w:val="07F1A668"/>
    <w:rsid w:val="08077E33"/>
    <w:rsid w:val="08CFABB9"/>
    <w:rsid w:val="0A598453"/>
    <w:rsid w:val="0A7D75DA"/>
    <w:rsid w:val="0B077F47"/>
    <w:rsid w:val="0B79856C"/>
    <w:rsid w:val="0BB7FD9E"/>
    <w:rsid w:val="0BB850E9"/>
    <w:rsid w:val="0BEE3805"/>
    <w:rsid w:val="0C1CDB44"/>
    <w:rsid w:val="0E0E7FB2"/>
    <w:rsid w:val="0E10C621"/>
    <w:rsid w:val="0E2D1F7F"/>
    <w:rsid w:val="0E990984"/>
    <w:rsid w:val="0F7D8272"/>
    <w:rsid w:val="0F997BB7"/>
    <w:rsid w:val="11650B97"/>
    <w:rsid w:val="118780D8"/>
    <w:rsid w:val="1244AB5C"/>
    <w:rsid w:val="1291D788"/>
    <w:rsid w:val="12FCBDCF"/>
    <w:rsid w:val="13A75BD8"/>
    <w:rsid w:val="149426CC"/>
    <w:rsid w:val="14D2CFB9"/>
    <w:rsid w:val="150D7A90"/>
    <w:rsid w:val="1516170D"/>
    <w:rsid w:val="15DB6FE9"/>
    <w:rsid w:val="1655F08C"/>
    <w:rsid w:val="16CE5B7C"/>
    <w:rsid w:val="1713C4B9"/>
    <w:rsid w:val="18090B25"/>
    <w:rsid w:val="1846895C"/>
    <w:rsid w:val="18504B58"/>
    <w:rsid w:val="185C71A5"/>
    <w:rsid w:val="18B9C961"/>
    <w:rsid w:val="19A5FCF7"/>
    <w:rsid w:val="19C2A280"/>
    <w:rsid w:val="1A3E1A25"/>
    <w:rsid w:val="1A8BE533"/>
    <w:rsid w:val="1AAF6623"/>
    <w:rsid w:val="1AED481B"/>
    <w:rsid w:val="1B153088"/>
    <w:rsid w:val="1B5B0363"/>
    <w:rsid w:val="1B874B70"/>
    <w:rsid w:val="1C65C534"/>
    <w:rsid w:val="1C6C58AB"/>
    <w:rsid w:val="1CAE1A92"/>
    <w:rsid w:val="1D098DBB"/>
    <w:rsid w:val="1D64C385"/>
    <w:rsid w:val="1D993A9E"/>
    <w:rsid w:val="1E57F7B3"/>
    <w:rsid w:val="1EF70143"/>
    <w:rsid w:val="1FE9A2F3"/>
    <w:rsid w:val="21B5C2C0"/>
    <w:rsid w:val="21C120B3"/>
    <w:rsid w:val="22F33C35"/>
    <w:rsid w:val="23112B29"/>
    <w:rsid w:val="2361FE23"/>
    <w:rsid w:val="23886653"/>
    <w:rsid w:val="241B0A52"/>
    <w:rsid w:val="241C16A6"/>
    <w:rsid w:val="25AE256A"/>
    <w:rsid w:val="26284460"/>
    <w:rsid w:val="262EB782"/>
    <w:rsid w:val="2695D97E"/>
    <w:rsid w:val="27BEFE53"/>
    <w:rsid w:val="27FE0B90"/>
    <w:rsid w:val="2AC3EEB7"/>
    <w:rsid w:val="2AEE5289"/>
    <w:rsid w:val="2B1FC677"/>
    <w:rsid w:val="2B377F70"/>
    <w:rsid w:val="2BB90664"/>
    <w:rsid w:val="2BE72F23"/>
    <w:rsid w:val="2D6A8A83"/>
    <w:rsid w:val="2DDEE267"/>
    <w:rsid w:val="2E016AD1"/>
    <w:rsid w:val="2ECBD6A8"/>
    <w:rsid w:val="2F074B66"/>
    <w:rsid w:val="2FC7C059"/>
    <w:rsid w:val="2FC98C38"/>
    <w:rsid w:val="3081015B"/>
    <w:rsid w:val="30AB11BC"/>
    <w:rsid w:val="30CA81A8"/>
    <w:rsid w:val="30E6D492"/>
    <w:rsid w:val="3176921D"/>
    <w:rsid w:val="31EB5AB4"/>
    <w:rsid w:val="32ACEE6B"/>
    <w:rsid w:val="338256E2"/>
    <w:rsid w:val="33C581D2"/>
    <w:rsid w:val="34354AA4"/>
    <w:rsid w:val="34AD0519"/>
    <w:rsid w:val="35494FCB"/>
    <w:rsid w:val="3549FBD9"/>
    <w:rsid w:val="3702FC93"/>
    <w:rsid w:val="377C6111"/>
    <w:rsid w:val="37987307"/>
    <w:rsid w:val="379944FE"/>
    <w:rsid w:val="379C6D7D"/>
    <w:rsid w:val="37A09926"/>
    <w:rsid w:val="38498C9B"/>
    <w:rsid w:val="3860C528"/>
    <w:rsid w:val="39815A02"/>
    <w:rsid w:val="3A2ECBEC"/>
    <w:rsid w:val="3ADFEDD0"/>
    <w:rsid w:val="3B0CC27E"/>
    <w:rsid w:val="3B48049C"/>
    <w:rsid w:val="3B678A70"/>
    <w:rsid w:val="3B9A8F39"/>
    <w:rsid w:val="3C5D8253"/>
    <w:rsid w:val="3C7A4CBA"/>
    <w:rsid w:val="3DC28A0E"/>
    <w:rsid w:val="3DF7E0D1"/>
    <w:rsid w:val="3E5F94CC"/>
    <w:rsid w:val="3EB8F85B"/>
    <w:rsid w:val="3EC93297"/>
    <w:rsid w:val="3EE6BF3D"/>
    <w:rsid w:val="3F22D5F6"/>
    <w:rsid w:val="3FAE29F3"/>
    <w:rsid w:val="3FB6B39C"/>
    <w:rsid w:val="3FDD5DF2"/>
    <w:rsid w:val="3FFE1F96"/>
    <w:rsid w:val="401567B9"/>
    <w:rsid w:val="40329781"/>
    <w:rsid w:val="405E9E19"/>
    <w:rsid w:val="4061F0C4"/>
    <w:rsid w:val="41AACBA8"/>
    <w:rsid w:val="41BC142A"/>
    <w:rsid w:val="41C55447"/>
    <w:rsid w:val="421205A6"/>
    <w:rsid w:val="42E2FE82"/>
    <w:rsid w:val="44626F49"/>
    <w:rsid w:val="44DDF068"/>
    <w:rsid w:val="44F0902B"/>
    <w:rsid w:val="44F4A954"/>
    <w:rsid w:val="4520087C"/>
    <w:rsid w:val="456E88FD"/>
    <w:rsid w:val="45C8AD0C"/>
    <w:rsid w:val="4681F320"/>
    <w:rsid w:val="47BC12ED"/>
    <w:rsid w:val="47D99CA1"/>
    <w:rsid w:val="48E13E95"/>
    <w:rsid w:val="48F7C199"/>
    <w:rsid w:val="4A036153"/>
    <w:rsid w:val="4A98D8BC"/>
    <w:rsid w:val="4B5BDCB1"/>
    <w:rsid w:val="4BA7D250"/>
    <w:rsid w:val="4CA625A9"/>
    <w:rsid w:val="4D172AFE"/>
    <w:rsid w:val="4D22AB96"/>
    <w:rsid w:val="4D2724D5"/>
    <w:rsid w:val="4D67A8A5"/>
    <w:rsid w:val="4D7893A2"/>
    <w:rsid w:val="4DA3E703"/>
    <w:rsid w:val="4DB0A261"/>
    <w:rsid w:val="4DD13753"/>
    <w:rsid w:val="4E9C0E6A"/>
    <w:rsid w:val="4EDDBCFC"/>
    <w:rsid w:val="504C68ED"/>
    <w:rsid w:val="514576BA"/>
    <w:rsid w:val="516DF2AF"/>
    <w:rsid w:val="5245D6BC"/>
    <w:rsid w:val="526695F1"/>
    <w:rsid w:val="534E2F7C"/>
    <w:rsid w:val="5392AB13"/>
    <w:rsid w:val="53B42737"/>
    <w:rsid w:val="5403594F"/>
    <w:rsid w:val="553CB3C1"/>
    <w:rsid w:val="554F10BA"/>
    <w:rsid w:val="55EEE8AB"/>
    <w:rsid w:val="560A3A3C"/>
    <w:rsid w:val="561FD6D5"/>
    <w:rsid w:val="5733B0F8"/>
    <w:rsid w:val="58715EB2"/>
    <w:rsid w:val="5884C9AC"/>
    <w:rsid w:val="588B68FE"/>
    <w:rsid w:val="5921E3D7"/>
    <w:rsid w:val="593C0675"/>
    <w:rsid w:val="5979D2FB"/>
    <w:rsid w:val="598A1240"/>
    <w:rsid w:val="59A3431A"/>
    <w:rsid w:val="59D356C8"/>
    <w:rsid w:val="5A32B24C"/>
    <w:rsid w:val="5A42A59C"/>
    <w:rsid w:val="5A65B98F"/>
    <w:rsid w:val="5ADD7C71"/>
    <w:rsid w:val="5BCB475C"/>
    <w:rsid w:val="5BE0431C"/>
    <w:rsid w:val="5C1025FD"/>
    <w:rsid w:val="5C136AA3"/>
    <w:rsid w:val="5C4D4F0C"/>
    <w:rsid w:val="5C80ABD7"/>
    <w:rsid w:val="5D28E228"/>
    <w:rsid w:val="5D441A67"/>
    <w:rsid w:val="5ECB3BDF"/>
    <w:rsid w:val="5ED98D45"/>
    <w:rsid w:val="5F0E7713"/>
    <w:rsid w:val="61797161"/>
    <w:rsid w:val="6240FE74"/>
    <w:rsid w:val="6359BF11"/>
    <w:rsid w:val="63C2D659"/>
    <w:rsid w:val="63D72272"/>
    <w:rsid w:val="63FCA30D"/>
    <w:rsid w:val="6429E48A"/>
    <w:rsid w:val="64809261"/>
    <w:rsid w:val="64F9C32D"/>
    <w:rsid w:val="652FFC03"/>
    <w:rsid w:val="6574B32B"/>
    <w:rsid w:val="669AF69E"/>
    <w:rsid w:val="674F10EC"/>
    <w:rsid w:val="67C08671"/>
    <w:rsid w:val="686CF277"/>
    <w:rsid w:val="68F16854"/>
    <w:rsid w:val="69DD2E72"/>
    <w:rsid w:val="6A8BE7E6"/>
    <w:rsid w:val="6B0A94FC"/>
    <w:rsid w:val="6B1D6D8A"/>
    <w:rsid w:val="6B4FFDC4"/>
    <w:rsid w:val="6B7E6399"/>
    <w:rsid w:val="6BCC95B7"/>
    <w:rsid w:val="6BDF1CDD"/>
    <w:rsid w:val="6C1F68D2"/>
    <w:rsid w:val="6C7CAFE1"/>
    <w:rsid w:val="6C95CCD3"/>
    <w:rsid w:val="6C9681B0"/>
    <w:rsid w:val="6CCD488D"/>
    <w:rsid w:val="6CEC287C"/>
    <w:rsid w:val="6CEE3CD4"/>
    <w:rsid w:val="6CF63EA5"/>
    <w:rsid w:val="6D10AA49"/>
    <w:rsid w:val="6D90BFB3"/>
    <w:rsid w:val="6F23BA01"/>
    <w:rsid w:val="7024142D"/>
    <w:rsid w:val="70326BB3"/>
    <w:rsid w:val="70EE54C4"/>
    <w:rsid w:val="70F56D70"/>
    <w:rsid w:val="71DA4C05"/>
    <w:rsid w:val="71DDE55D"/>
    <w:rsid w:val="729D7736"/>
    <w:rsid w:val="73459400"/>
    <w:rsid w:val="739D5631"/>
    <w:rsid w:val="73D5463C"/>
    <w:rsid w:val="744F99D9"/>
    <w:rsid w:val="74712EF8"/>
    <w:rsid w:val="74974FFA"/>
    <w:rsid w:val="74DB501F"/>
    <w:rsid w:val="750D5588"/>
    <w:rsid w:val="75AAF1A9"/>
    <w:rsid w:val="75AD15F1"/>
    <w:rsid w:val="75B4044A"/>
    <w:rsid w:val="75BBD4DE"/>
    <w:rsid w:val="75ED308F"/>
    <w:rsid w:val="7729A8C4"/>
    <w:rsid w:val="7777A2F5"/>
    <w:rsid w:val="77B886D7"/>
    <w:rsid w:val="77DF604F"/>
    <w:rsid w:val="77F6B296"/>
    <w:rsid w:val="77FBD5EE"/>
    <w:rsid w:val="7821B0C8"/>
    <w:rsid w:val="78A89192"/>
    <w:rsid w:val="799F04D4"/>
    <w:rsid w:val="7A07EF4B"/>
    <w:rsid w:val="7A1AE4C9"/>
    <w:rsid w:val="7A2E83EA"/>
    <w:rsid w:val="7AE04C2A"/>
    <w:rsid w:val="7C189CEB"/>
    <w:rsid w:val="7C730E65"/>
    <w:rsid w:val="7CFB8932"/>
    <w:rsid w:val="7D014E52"/>
    <w:rsid w:val="7D035EA0"/>
    <w:rsid w:val="7E22A79D"/>
    <w:rsid w:val="7E789741"/>
    <w:rsid w:val="7EBD3980"/>
    <w:rsid w:val="7EDD6E1D"/>
    <w:rsid w:val="7F05AB7F"/>
    <w:rsid w:val="7F0FA3C4"/>
    <w:rsid w:val="7F4D24AA"/>
    <w:rsid w:val="7F709C67"/>
    <w:rsid w:val="7F92E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FBD5EE"/>
  <w15:chartTrackingRefBased/>
  <w15:docId w15:val="{40FBACC8-98B4-4B94-A980-3F9A8ED0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2BB9066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9F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369FC"/>
    <w:rPr>
      <w:b/>
      <w:bCs/>
      <w:sz w:val="20"/>
      <w:szCs w:val="20"/>
    </w:rPr>
  </w:style>
  <w:style w:type="paragraph" w:styleId="Header">
    <w:uiPriority w:val="99"/>
    <w:name w:val="header"/>
    <w:basedOn w:val="Normal"/>
    <w:unhideWhenUsed/>
    <w:rsid w:val="674F10E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74F10E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0361B61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microsoft.com/office/2016/09/relationships/commentsIds" Target="commentsIds.xml" Id="rId7" /><Relationship Type="http://schemas.openxmlformats.org/officeDocument/2006/relationships/footer" Target="footer.xml" Id="R5fb3cbdb23544bae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commentsExtended" Target="commentsExtended.xml" Id="rId6" /><Relationship Type="http://schemas.openxmlformats.org/officeDocument/2006/relationships/theme" Target="theme/theme1.xml" Id="rId11" /><Relationship Type="http://schemas.openxmlformats.org/officeDocument/2006/relationships/header" Target="header.xml" Id="R925bcf1e9bf8403e" /><Relationship Type="http://schemas.microsoft.com/office/2020/10/relationships/intelligence" Target="intelligence2.xml" Id="R8d9607cffe284f27" /><Relationship Type="http://schemas.microsoft.com/office/2011/relationships/people" Target="people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ustomXml" Target="../customXml/item3.xml" Id="rId14" /><Relationship Type="http://schemas.openxmlformats.org/officeDocument/2006/relationships/hyperlink" Target="mailto:anna.ritchie@metrocharity.org.uk" TargetMode="External" Id="R51a5c6a83e1f4605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ab01429b50a94fe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69D68D11BB244877683492C077388" ma:contentTypeVersion="7" ma:contentTypeDescription="Create a new document." ma:contentTypeScope="" ma:versionID="eefd31e73ed895285e1aa7b2456e59ae">
  <xsd:schema xmlns:xsd="http://www.w3.org/2001/XMLSchema" xmlns:xs="http://www.w3.org/2001/XMLSchema" xmlns:p="http://schemas.microsoft.com/office/2006/metadata/properties" xmlns:ns2="7c723c5f-11dd-41b3-8789-826b63d3ba74" targetNamespace="http://schemas.microsoft.com/office/2006/metadata/properties" ma:root="true" ma:fieldsID="1ac9f05742032b91de49b82f0291dc5f" ns2:_="">
    <xsd:import namespace="7c723c5f-11dd-41b3-8789-826b63d3b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23c5f-11dd-41b3-8789-826b63d3b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66C479-9DE8-4C71-AD14-F40F47CAD295}"/>
</file>

<file path=customXml/itemProps2.xml><?xml version="1.0" encoding="utf-8"?>
<ds:datastoreItem xmlns:ds="http://schemas.openxmlformats.org/officeDocument/2006/customXml" ds:itemID="{AD3715C1-0C2F-42C4-B365-019CF8E1957A}"/>
</file>

<file path=customXml/itemProps3.xml><?xml version="1.0" encoding="utf-8"?>
<ds:datastoreItem xmlns:ds="http://schemas.openxmlformats.org/officeDocument/2006/customXml" ds:itemID="{268BE87A-82D7-4D8B-A679-F1D4BC2B04E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 Ritchie</dc:creator>
  <keywords/>
  <dc:description/>
  <lastModifiedBy>Hannah Weber</lastModifiedBy>
  <revision>18</revision>
  <dcterms:created xsi:type="dcterms:W3CDTF">2025-04-15T14:04:00.0000000Z</dcterms:created>
  <dcterms:modified xsi:type="dcterms:W3CDTF">2025-05-13T13:28:29.1385526Z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0x0101009E769D68D11BB244877683492C077388</vt:lpwstr>
  </property>
</Properties>
</file>